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BE1" w:rsidRDefault="00C01BE1" w:rsidP="00C01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01BE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Nota Pública Tocantins Contra a Redução da Maioridade Penal</w:t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A Frente Tocantins Contra a Redução da Maioridade Penal se expressa CONTRÁRIA à PEC 171/93 e seus 38 apensos, que tramita no Congresso Nacional, tendo por finalidade alterar a Constituição Federal para reduzir a idade penal de adolescentes autores de ato </w:t>
      </w:r>
      <w:proofErr w:type="spellStart"/>
      <w:r w:rsidRPr="00C01BE1">
        <w:rPr>
          <w:rFonts w:ascii="Arial" w:eastAsia="Times New Roman" w:hAnsi="Arial" w:cs="Arial"/>
          <w:sz w:val="24"/>
          <w:szCs w:val="24"/>
          <w:lang w:eastAsia="pt-BR"/>
        </w:rPr>
        <w:t>infracional</w:t>
      </w:r>
      <w:proofErr w:type="spellEnd"/>
      <w:r w:rsidRPr="00C01BE1">
        <w:rPr>
          <w:rFonts w:ascii="Arial" w:eastAsia="Times New Roman" w:hAnsi="Arial" w:cs="Arial"/>
          <w:sz w:val="24"/>
          <w:szCs w:val="24"/>
          <w:lang w:eastAsia="pt-BR"/>
        </w:rPr>
        <w:t xml:space="preserve"> de 18 anos para 16 anos considerando que:</w:t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  <w:t>A afirmação da idade penal faz parte dos direitos e garantias constitucionais fundamentais de natureza individual, portanto, irrevogáveis, pois a redução da idade penal é imbuída de uma questão constitucional fundamental. Ela é Cláusula Pétrea, sendo parte dos direitos e garantias fundamentais individuais da nossa Constituição Federal de 1988. É o que consta em seu art. 60, §4º.</w:t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  <w:t>O Brasil é signatário dos tratados internacionais - a exemplo da Convenção sobre os Direitos da Criança da ONU de 1989 – que confirmam os 18 anos como marco de idade penal. A Convenção Internacional sobre os Direitos da Criança é documento subscrito e ratificado internamente pelo Brasil. Conforme apregoa a Carta Magna Brasileira, todo documento internacional assinado no exterior e ratificado em âmbito interno terá valor supralegal, logo, a Convenção Internacional sobre os Direitos da Criança e os demais tratados, pactos e diretrizes dos quais o Brasil é signatário são documentos com status constitucional.</w:t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Quanto ao suposto elevado índice de criminalidade juvenil, tem-se a dizer que as informações que chegam, principalmente por meio da mídia, levam a sociedade a crer que realmente os adolescentes são os grandes responsáveis pela criminalidade hoje instaurada no país. Tem-se a impressão de que há um número elevado de adolescentes infratores. No entanto, os atos </w:t>
      </w:r>
      <w:proofErr w:type="spellStart"/>
      <w:r w:rsidRPr="00C01BE1">
        <w:rPr>
          <w:rFonts w:ascii="Arial" w:eastAsia="Times New Roman" w:hAnsi="Arial" w:cs="Arial"/>
          <w:sz w:val="24"/>
          <w:szCs w:val="24"/>
          <w:lang w:eastAsia="pt-BR"/>
        </w:rPr>
        <w:t>infracionais</w:t>
      </w:r>
      <w:proofErr w:type="spellEnd"/>
      <w:r w:rsidRPr="00C01BE1">
        <w:rPr>
          <w:rFonts w:ascii="Arial" w:eastAsia="Times New Roman" w:hAnsi="Arial" w:cs="Arial"/>
          <w:sz w:val="24"/>
          <w:szCs w:val="24"/>
          <w:lang w:eastAsia="pt-BR"/>
        </w:rPr>
        <w:t xml:space="preserve"> praticados por adolescentes não chegam a 10% do total de crimes praticados no Brasil, sendo que, desse total – que significa, importante frisar, um patamar já irrisório comparado aos crimes cometidos –, apenas 10% equiparam-se a crimes contra a vida e a grande maioria, </w:t>
      </w:r>
      <w:proofErr w:type="gramStart"/>
      <w:r w:rsidRPr="00C01BE1">
        <w:rPr>
          <w:rFonts w:ascii="Arial" w:eastAsia="Times New Roman" w:hAnsi="Arial" w:cs="Arial"/>
          <w:sz w:val="24"/>
          <w:szCs w:val="24"/>
          <w:lang w:eastAsia="pt-BR"/>
        </w:rPr>
        <w:t>cerca de 75</w:t>
      </w:r>
      <w:proofErr w:type="gramEnd"/>
      <w:r w:rsidRPr="00C01BE1">
        <w:rPr>
          <w:rFonts w:ascii="Arial" w:eastAsia="Times New Roman" w:hAnsi="Arial" w:cs="Arial"/>
          <w:sz w:val="24"/>
          <w:szCs w:val="24"/>
          <w:lang w:eastAsia="pt-BR"/>
        </w:rPr>
        <w:t>%, são contra o patrimônio (50% são furtos), de acordo com dados do Núcleo de Estudos de Violência (NEV) e do Instituto Latino Americano das Nações Unidas para a Prevenção do Delito e o Tratamento do Delinquente (</w:t>
      </w:r>
      <w:proofErr w:type="spellStart"/>
      <w:r w:rsidRPr="00C01BE1">
        <w:rPr>
          <w:rFonts w:ascii="Arial" w:eastAsia="Times New Roman" w:hAnsi="Arial" w:cs="Arial"/>
          <w:sz w:val="24"/>
          <w:szCs w:val="24"/>
          <w:lang w:eastAsia="pt-BR"/>
        </w:rPr>
        <w:t>Ilanud</w:t>
      </w:r>
      <w:proofErr w:type="spellEnd"/>
      <w:r w:rsidRPr="00C01BE1">
        <w:rPr>
          <w:rFonts w:ascii="Arial" w:eastAsia="Times New Roman" w:hAnsi="Arial" w:cs="Arial"/>
          <w:sz w:val="24"/>
          <w:szCs w:val="24"/>
          <w:lang w:eastAsia="pt-BR"/>
        </w:rPr>
        <w:t>).</w:t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A irresponsabilidade penal da criança e do adolescente é um mito, pois esta ideia se baseia na concepção de que o adolescente é incitado a cometer um ato </w:t>
      </w:r>
      <w:proofErr w:type="spellStart"/>
      <w:r w:rsidRPr="00C01BE1">
        <w:rPr>
          <w:rFonts w:ascii="Arial" w:eastAsia="Times New Roman" w:hAnsi="Arial" w:cs="Arial"/>
          <w:sz w:val="24"/>
          <w:szCs w:val="24"/>
          <w:lang w:eastAsia="pt-BR"/>
        </w:rPr>
        <w:t>infracional</w:t>
      </w:r>
      <w:proofErr w:type="spellEnd"/>
      <w:r w:rsidRPr="00C01BE1">
        <w:rPr>
          <w:rFonts w:ascii="Arial" w:eastAsia="Times New Roman" w:hAnsi="Arial" w:cs="Arial"/>
          <w:sz w:val="24"/>
          <w:szCs w:val="24"/>
          <w:lang w:eastAsia="pt-BR"/>
        </w:rPr>
        <w:t xml:space="preserve"> porque a atual legislação é branda quanto à sua punição. Confunde-se então, inimputabilidade com impunidade e se </w:t>
      </w:r>
      <w:proofErr w:type="gramStart"/>
      <w:r w:rsidRPr="00C01BE1">
        <w:rPr>
          <w:rFonts w:ascii="Arial" w:eastAsia="Times New Roman" w:hAnsi="Arial" w:cs="Arial"/>
          <w:sz w:val="24"/>
          <w:szCs w:val="24"/>
          <w:lang w:eastAsia="pt-BR"/>
        </w:rPr>
        <w:t>esquece</w:t>
      </w:r>
      <w:proofErr w:type="gramEnd"/>
      <w:r w:rsidRPr="00C01BE1">
        <w:rPr>
          <w:rFonts w:ascii="Arial" w:eastAsia="Times New Roman" w:hAnsi="Arial" w:cs="Arial"/>
          <w:sz w:val="24"/>
          <w:szCs w:val="24"/>
          <w:lang w:eastAsia="pt-BR"/>
        </w:rPr>
        <w:t xml:space="preserve"> que existem as medidas socioeducativas para responsabilização dos adolescentes, que até o momento ainda não foram implementadas integralmente em nosso país.</w:t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  <w:t>Desta forma rechaçamos, qualquer espécie de retrocesso no marco legal brasileiro.</w:t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C01BE1">
        <w:rPr>
          <w:rFonts w:ascii="Arial" w:eastAsia="Times New Roman" w:hAnsi="Arial" w:cs="Arial"/>
          <w:b/>
          <w:sz w:val="24"/>
          <w:szCs w:val="24"/>
          <w:lang w:eastAsia="pt-BR"/>
        </w:rPr>
        <w:t>Assinam esta Nota Pública as organizações e instituições que compõem a Frente Tocantins Contra a Redução da Maioridade Penal:</w:t>
      </w:r>
      <w:r w:rsidRPr="00C01BE1">
        <w:rPr>
          <w:rFonts w:ascii="Arial" w:eastAsia="Times New Roman" w:hAnsi="Arial" w:cs="Arial"/>
          <w:b/>
          <w:sz w:val="24"/>
          <w:szCs w:val="24"/>
          <w:lang w:eastAsia="pt-BR"/>
        </w:rPr>
        <w:br/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lastRenderedPageBreak/>
        <w:br/>
        <w:t xml:space="preserve">Associação Palmas Hip </w:t>
      </w:r>
      <w:proofErr w:type="spellStart"/>
      <w:r w:rsidRPr="00C01BE1">
        <w:rPr>
          <w:rFonts w:ascii="Arial" w:eastAsia="Times New Roman" w:hAnsi="Arial" w:cs="Arial"/>
          <w:sz w:val="24"/>
          <w:szCs w:val="24"/>
          <w:lang w:eastAsia="pt-BR"/>
        </w:rPr>
        <w:t>Hop</w:t>
      </w:r>
      <w:proofErr w:type="spellEnd"/>
    </w:p>
    <w:p w:rsidR="00C01BE1" w:rsidRDefault="00C01BE1" w:rsidP="00C01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C01BE1">
        <w:rPr>
          <w:rFonts w:ascii="Arial" w:eastAsia="Times New Roman" w:hAnsi="Arial" w:cs="Arial"/>
          <w:sz w:val="24"/>
          <w:szCs w:val="24"/>
          <w:lang w:eastAsia="pt-BR"/>
        </w:rPr>
        <w:t>Cedeca</w:t>
      </w:r>
      <w:proofErr w:type="spellEnd"/>
      <w:r w:rsidRPr="00C01BE1">
        <w:rPr>
          <w:rFonts w:ascii="Arial" w:eastAsia="Times New Roman" w:hAnsi="Arial" w:cs="Arial"/>
          <w:sz w:val="24"/>
          <w:szCs w:val="24"/>
          <w:lang w:eastAsia="pt-BR"/>
        </w:rPr>
        <w:t xml:space="preserve"> – Centro de Defesa dos Direitos da Criança e do Adolescente Glória de Ivone</w:t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br/>
        <w:t>Defensoria Pública do Estado do Tocantins</w:t>
      </w:r>
    </w:p>
    <w:p w:rsidR="00C01BE1" w:rsidRDefault="00C01BE1" w:rsidP="00C01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01BE1">
        <w:rPr>
          <w:rFonts w:ascii="Arial" w:eastAsia="Times New Roman" w:hAnsi="Arial" w:cs="Arial"/>
          <w:sz w:val="24"/>
          <w:szCs w:val="24"/>
          <w:lang w:eastAsia="pt-BR"/>
        </w:rPr>
        <w:t>Deputado Estadual Ricardo Ayres</w:t>
      </w:r>
    </w:p>
    <w:p w:rsidR="00C01BE1" w:rsidRDefault="00C01BE1" w:rsidP="00C01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01BE1">
        <w:rPr>
          <w:rFonts w:ascii="Arial" w:eastAsia="Times New Roman" w:hAnsi="Arial" w:cs="Arial"/>
          <w:sz w:val="24"/>
          <w:szCs w:val="24"/>
          <w:lang w:eastAsia="pt-BR"/>
        </w:rPr>
        <w:t>Grupo Feminista Dina Guerrilheira</w:t>
      </w:r>
    </w:p>
    <w:p w:rsidR="00C01BE1" w:rsidRDefault="00C01BE1" w:rsidP="00C01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01BE1">
        <w:rPr>
          <w:rFonts w:ascii="Arial" w:eastAsia="Times New Roman" w:hAnsi="Arial" w:cs="Arial"/>
          <w:sz w:val="24"/>
          <w:szCs w:val="24"/>
          <w:lang w:eastAsia="pt-BR"/>
        </w:rPr>
        <w:t xml:space="preserve">Levante Popular da Juventude </w:t>
      </w:r>
      <w:r>
        <w:rPr>
          <w:rFonts w:ascii="Arial" w:eastAsia="Times New Roman" w:hAnsi="Arial" w:cs="Arial"/>
          <w:sz w:val="24"/>
          <w:szCs w:val="24"/>
          <w:lang w:eastAsia="pt-BR"/>
        </w:rPr>
        <w:t>–</w:t>
      </w:r>
      <w:r w:rsidRPr="00C01BE1">
        <w:rPr>
          <w:rFonts w:ascii="Arial" w:eastAsia="Times New Roman" w:hAnsi="Arial" w:cs="Arial"/>
          <w:sz w:val="24"/>
          <w:szCs w:val="24"/>
          <w:lang w:eastAsia="pt-BR"/>
        </w:rPr>
        <w:t xml:space="preserve"> Tocantins</w:t>
      </w:r>
    </w:p>
    <w:p w:rsidR="00C01BE1" w:rsidRDefault="00C01BE1" w:rsidP="00C01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01BE1">
        <w:rPr>
          <w:rFonts w:ascii="Arial" w:eastAsia="Times New Roman" w:hAnsi="Arial" w:cs="Arial"/>
          <w:sz w:val="24"/>
          <w:szCs w:val="24"/>
          <w:lang w:eastAsia="pt-BR"/>
        </w:rPr>
        <w:t>OAB – Ordem dos Advogados do Brasil Seccional Tocantins</w:t>
      </w:r>
    </w:p>
    <w:p w:rsidR="00C01BE1" w:rsidRDefault="00C01BE1" w:rsidP="00C01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01BE1">
        <w:rPr>
          <w:rFonts w:ascii="Arial" w:eastAsia="Times New Roman" w:hAnsi="Arial" w:cs="Arial"/>
          <w:sz w:val="24"/>
          <w:szCs w:val="24"/>
          <w:lang w:eastAsia="pt-BR"/>
        </w:rPr>
        <w:t>Rede Estadual de Protagonistas Juvenil</w:t>
      </w:r>
    </w:p>
    <w:p w:rsidR="00C01BE1" w:rsidRDefault="00C01BE1" w:rsidP="00C01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01BE1">
        <w:rPr>
          <w:rFonts w:ascii="Arial" w:eastAsia="Times New Roman" w:hAnsi="Arial" w:cs="Arial"/>
          <w:sz w:val="24"/>
          <w:szCs w:val="24"/>
          <w:lang w:eastAsia="pt-BR"/>
        </w:rPr>
        <w:t>Renas – Rede Evangélica Nacional de Ação Social</w:t>
      </w:r>
    </w:p>
    <w:p w:rsidR="00C01BE1" w:rsidRPr="00C01BE1" w:rsidRDefault="00C01BE1" w:rsidP="00C01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C01BE1">
        <w:rPr>
          <w:rFonts w:ascii="Arial" w:eastAsia="Times New Roman" w:hAnsi="Arial" w:cs="Arial"/>
          <w:sz w:val="24"/>
          <w:szCs w:val="24"/>
          <w:lang w:eastAsia="pt-BR"/>
        </w:rPr>
        <w:t>Unitins</w:t>
      </w:r>
      <w:proofErr w:type="spellEnd"/>
      <w:r w:rsidRPr="00C01BE1">
        <w:rPr>
          <w:rFonts w:ascii="Arial" w:eastAsia="Times New Roman" w:hAnsi="Arial" w:cs="Arial"/>
          <w:sz w:val="24"/>
          <w:szCs w:val="24"/>
          <w:lang w:eastAsia="pt-BR"/>
        </w:rPr>
        <w:t xml:space="preserve"> – Fundação Universidade do Tocantins</w:t>
      </w:r>
    </w:p>
    <w:p w:rsidR="00A72452" w:rsidRPr="00C01BE1" w:rsidRDefault="00C01BE1">
      <w:pPr>
        <w:rPr>
          <w:rFonts w:ascii="Arial" w:hAnsi="Arial" w:cs="Arial"/>
        </w:rPr>
      </w:pPr>
    </w:p>
    <w:sectPr w:rsidR="00A72452" w:rsidRPr="00C01BE1" w:rsidSect="002A71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C01BE1"/>
    <w:rsid w:val="002A71BF"/>
    <w:rsid w:val="00B220E0"/>
    <w:rsid w:val="00C01BE1"/>
    <w:rsid w:val="00F66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1BF"/>
  </w:style>
  <w:style w:type="paragraph" w:styleId="Ttulo1">
    <w:name w:val="heading 1"/>
    <w:basedOn w:val="Normal"/>
    <w:link w:val="Ttulo1Char"/>
    <w:uiPriority w:val="9"/>
    <w:qFormat/>
    <w:rsid w:val="00C01B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1BE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Forte">
    <w:name w:val="Strong"/>
    <w:basedOn w:val="Fontepargpadro"/>
    <w:uiPriority w:val="22"/>
    <w:qFormat/>
    <w:rsid w:val="00C01B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cinthia.ga</dc:creator>
  <cp:lastModifiedBy>cinthia.ga</cp:lastModifiedBy>
  <cp:revision>1</cp:revision>
  <dcterms:created xsi:type="dcterms:W3CDTF">2015-05-06T18:10:00Z</dcterms:created>
  <dcterms:modified xsi:type="dcterms:W3CDTF">2015-05-06T18:12:00Z</dcterms:modified>
</cp:coreProperties>
</file>