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169BF" w:rsidRDefault="009169BF">
      <w:pPr>
        <w:spacing w:line="100" w:lineRule="atLeast"/>
        <w:jc w:val="center"/>
        <w:rPr>
          <w:rFonts w:ascii="Arial" w:hAnsi="Arial"/>
          <w:b/>
          <w:szCs w:val="28"/>
        </w:rPr>
      </w:pPr>
    </w:p>
    <w:p w:rsidR="00E12CDA" w:rsidRDefault="00E12CDA">
      <w:pPr>
        <w:spacing w:line="100" w:lineRule="atLeast"/>
        <w:jc w:val="center"/>
        <w:rPr>
          <w:rFonts w:ascii="Arial" w:hAnsi="Arial"/>
          <w:b/>
          <w:szCs w:val="28"/>
        </w:rPr>
      </w:pPr>
    </w:p>
    <w:p w:rsidR="00E12CDA" w:rsidRDefault="00E12CDA">
      <w:pPr>
        <w:spacing w:line="100" w:lineRule="atLeast"/>
        <w:jc w:val="center"/>
        <w:rPr>
          <w:rFonts w:ascii="Arial" w:hAnsi="Arial"/>
          <w:b/>
          <w:szCs w:val="28"/>
        </w:rPr>
      </w:pPr>
    </w:p>
    <w:p w:rsidR="00F6798D" w:rsidRDefault="00EE7183">
      <w:pPr>
        <w:spacing w:line="100" w:lineRule="atLeast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 xml:space="preserve">RECOMENDAÇÃO Nº </w:t>
      </w:r>
      <w:r w:rsidR="00AC4D57">
        <w:rPr>
          <w:rFonts w:ascii="Arial" w:hAnsi="Arial"/>
          <w:b/>
          <w:szCs w:val="28"/>
        </w:rPr>
        <w:t>05</w:t>
      </w:r>
      <w:r w:rsidR="00307286">
        <w:rPr>
          <w:rFonts w:ascii="Arial" w:hAnsi="Arial"/>
          <w:b/>
          <w:szCs w:val="28"/>
        </w:rPr>
        <w:t xml:space="preserve"> – PROPAC Nº</w:t>
      </w:r>
      <w:r w:rsidR="00AC4D57">
        <w:rPr>
          <w:rFonts w:ascii="Arial" w:hAnsi="Arial"/>
          <w:b/>
          <w:szCs w:val="28"/>
        </w:rPr>
        <w:t xml:space="preserve"> 08</w:t>
      </w:r>
      <w:r w:rsidR="003C7153">
        <w:rPr>
          <w:rFonts w:ascii="Arial" w:hAnsi="Arial"/>
          <w:b/>
          <w:szCs w:val="28"/>
        </w:rPr>
        <w:t>/2015</w:t>
      </w:r>
    </w:p>
    <w:p w:rsidR="00F6798D" w:rsidRDefault="00F6798D">
      <w:pPr>
        <w:spacing w:line="100" w:lineRule="atLeast"/>
        <w:jc w:val="center"/>
        <w:rPr>
          <w:rFonts w:ascii="Arial" w:hAnsi="Arial"/>
          <w:b/>
          <w:sz w:val="26"/>
          <w:szCs w:val="26"/>
        </w:rPr>
      </w:pPr>
    </w:p>
    <w:p w:rsidR="00F96BF8" w:rsidRPr="0081345C" w:rsidRDefault="00F96BF8">
      <w:pPr>
        <w:spacing w:line="100" w:lineRule="atLeast"/>
        <w:jc w:val="center"/>
        <w:rPr>
          <w:rFonts w:ascii="Bell MT" w:hAnsi="Bell MT"/>
          <w:b/>
          <w:sz w:val="26"/>
          <w:szCs w:val="26"/>
        </w:rPr>
      </w:pPr>
    </w:p>
    <w:p w:rsidR="00910B11" w:rsidRDefault="00910B11">
      <w:pPr>
        <w:spacing w:line="100" w:lineRule="atLeast"/>
        <w:ind w:firstLine="1701"/>
        <w:jc w:val="both"/>
        <w:rPr>
          <w:rFonts w:ascii="Arial" w:hAnsi="Arial"/>
          <w:sz w:val="24"/>
          <w:szCs w:val="24"/>
        </w:rPr>
      </w:pPr>
    </w:p>
    <w:p w:rsidR="00D67E20" w:rsidRDefault="008E4C4B" w:rsidP="00D67E20">
      <w:pPr>
        <w:spacing w:line="360" w:lineRule="auto"/>
        <w:ind w:firstLine="1418"/>
        <w:jc w:val="both"/>
        <w:rPr>
          <w:rFonts w:ascii="Bell MT" w:hAnsi="Bell MT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67E20">
        <w:rPr>
          <w:rFonts w:ascii="Bell MT" w:hAnsi="Bell MT" w:cs="Arial"/>
          <w:b/>
          <w:sz w:val="24"/>
          <w:szCs w:val="24"/>
        </w:rPr>
        <w:t>A Defensoria Pública do Estado do Tocantins</w:t>
      </w:r>
      <w:r w:rsidR="00D67E20" w:rsidRPr="00376CB1">
        <w:rPr>
          <w:rFonts w:ascii="Bell MT" w:hAnsi="Bell MT" w:cs="Arial"/>
          <w:sz w:val="24"/>
          <w:szCs w:val="24"/>
        </w:rPr>
        <w:t>, mediante atuação do seu</w:t>
      </w:r>
      <w:r w:rsidR="00D67E20" w:rsidRPr="00473970">
        <w:rPr>
          <w:rFonts w:ascii="Bell MT" w:hAnsi="Bell MT" w:cs="Arial"/>
          <w:sz w:val="24"/>
          <w:szCs w:val="24"/>
        </w:rPr>
        <w:t xml:space="preserve"> Núcleo Especializado de Direitos Difusos, Coletivos e Individuais Homogêneos, denominado </w:t>
      </w:r>
      <w:r w:rsidR="00D67E20" w:rsidRPr="00376CB1">
        <w:rPr>
          <w:rFonts w:ascii="Bell MT" w:hAnsi="Bell MT" w:cs="Arial"/>
          <w:b/>
          <w:sz w:val="24"/>
          <w:szCs w:val="24"/>
        </w:rPr>
        <w:t>Núcleo de Ações Coletivas</w:t>
      </w:r>
      <w:r w:rsidR="00D67E20" w:rsidRPr="00473970">
        <w:rPr>
          <w:rFonts w:ascii="Bell MT" w:hAnsi="Bell MT" w:cs="Arial"/>
          <w:sz w:val="24"/>
          <w:szCs w:val="24"/>
        </w:rPr>
        <w:t xml:space="preserve"> – </w:t>
      </w:r>
      <w:r w:rsidR="00D67E20" w:rsidRPr="00473970">
        <w:rPr>
          <w:rFonts w:ascii="Bell MT" w:hAnsi="Bell MT" w:cs="Arial"/>
          <w:b/>
          <w:sz w:val="24"/>
          <w:szCs w:val="24"/>
        </w:rPr>
        <w:t>NAC</w:t>
      </w:r>
      <w:r w:rsidR="0054629B">
        <w:rPr>
          <w:rFonts w:ascii="Bell MT" w:hAnsi="Bell MT" w:cs="Arial"/>
          <w:sz w:val="24"/>
          <w:szCs w:val="24"/>
        </w:rPr>
        <w:t>, presentada por seu Órgão</w:t>
      </w:r>
      <w:r w:rsidR="00D67E20">
        <w:rPr>
          <w:rFonts w:ascii="Bell MT" w:hAnsi="Bell MT" w:cs="Arial"/>
          <w:sz w:val="24"/>
          <w:szCs w:val="24"/>
        </w:rPr>
        <w:t xml:space="preserve"> de </w:t>
      </w:r>
      <w:r w:rsidR="0054629B">
        <w:rPr>
          <w:rFonts w:ascii="Bell MT" w:hAnsi="Bell MT" w:cs="Arial"/>
          <w:sz w:val="24"/>
          <w:szCs w:val="24"/>
        </w:rPr>
        <w:t>Execução que ao final subscreve</w:t>
      </w:r>
      <w:r w:rsidR="00D67E20">
        <w:rPr>
          <w:rFonts w:ascii="Bell MT" w:hAnsi="Bell MT" w:cs="Arial"/>
          <w:sz w:val="24"/>
          <w:szCs w:val="24"/>
        </w:rPr>
        <w:t>, no exercício</w:t>
      </w:r>
      <w:r w:rsidR="00D67E20" w:rsidRPr="00473970">
        <w:rPr>
          <w:rFonts w:ascii="Bell MT" w:hAnsi="Bell MT" w:cs="Arial"/>
          <w:sz w:val="24"/>
          <w:szCs w:val="24"/>
        </w:rPr>
        <w:t xml:space="preserve"> das prerrogativas que lhe</w:t>
      </w:r>
      <w:r w:rsidR="00D67E20">
        <w:rPr>
          <w:rFonts w:ascii="Bell MT" w:hAnsi="Bell MT" w:cs="Arial"/>
          <w:sz w:val="24"/>
          <w:szCs w:val="24"/>
        </w:rPr>
        <w:t>s</w:t>
      </w:r>
      <w:r w:rsidR="00D67E20" w:rsidRPr="00473970">
        <w:rPr>
          <w:rFonts w:ascii="Bell MT" w:hAnsi="Bell MT" w:cs="Arial"/>
          <w:sz w:val="24"/>
          <w:szCs w:val="24"/>
        </w:rPr>
        <w:t xml:space="preserve"> confere o </w:t>
      </w:r>
      <w:r w:rsidR="00D67E20" w:rsidRPr="00473970">
        <w:rPr>
          <w:rFonts w:ascii="Bell MT" w:hAnsi="Bell MT" w:cs="Arial"/>
          <w:bCs/>
          <w:iCs/>
          <w:color w:val="000000"/>
          <w:sz w:val="24"/>
          <w:szCs w:val="24"/>
        </w:rPr>
        <w:t>art. 134 da CRFB/88</w:t>
      </w:r>
      <w:r w:rsidR="0054629B">
        <w:rPr>
          <w:rFonts w:ascii="Bell MT" w:hAnsi="Bell MT" w:cs="Arial"/>
          <w:bCs/>
          <w:iCs/>
          <w:color w:val="000000"/>
          <w:sz w:val="24"/>
          <w:szCs w:val="24"/>
        </w:rPr>
        <w:t xml:space="preserve"> </w:t>
      </w:r>
      <w:hyperlink r:id="rId8" w:anchor="art1" w:history="1">
        <w:r w:rsidR="00D67E20" w:rsidRPr="00473970">
          <w:rPr>
            <w:rStyle w:val="Hyperlink"/>
            <w:rFonts w:ascii="Bell MT" w:hAnsi="Bell MT" w:cs="Arial"/>
            <w:color w:val="000000"/>
            <w:sz w:val="24"/>
            <w:szCs w:val="24"/>
            <w:shd w:val="clear" w:color="auto" w:fill="FFFFFF"/>
          </w:rPr>
          <w:t>(Redação dada pela Emenda Constitucional nº 80, de 2014)</w:t>
        </w:r>
      </w:hyperlink>
      <w:r w:rsidR="00D67E20" w:rsidRPr="00473970">
        <w:rPr>
          <w:rFonts w:ascii="Bell MT" w:hAnsi="Bell MT" w:cs="Arial"/>
          <w:bCs/>
          <w:iCs/>
          <w:color w:val="000000"/>
          <w:sz w:val="24"/>
          <w:szCs w:val="24"/>
        </w:rPr>
        <w:t>, c/c art. 128, inciso X, da Lei Complemen</w:t>
      </w:r>
      <w:r w:rsidR="00D67E20">
        <w:rPr>
          <w:rFonts w:ascii="Bell MT" w:hAnsi="Bell MT" w:cs="Arial"/>
          <w:bCs/>
          <w:iCs/>
          <w:color w:val="000000"/>
          <w:sz w:val="24"/>
          <w:szCs w:val="24"/>
        </w:rPr>
        <w:t>tar Federal nº 80/94, c/c art. 2</w:t>
      </w:r>
      <w:r w:rsidR="00D67E20" w:rsidRPr="00473970">
        <w:rPr>
          <w:rFonts w:ascii="Bell MT" w:hAnsi="Bell MT" w:cs="Arial"/>
          <w:bCs/>
          <w:iCs/>
          <w:color w:val="000000"/>
          <w:sz w:val="24"/>
          <w:szCs w:val="24"/>
        </w:rPr>
        <w:t xml:space="preserve">º, </w:t>
      </w:r>
      <w:r w:rsidR="00D67E20" w:rsidRPr="00473970">
        <w:rPr>
          <w:rFonts w:ascii="Bell MT" w:hAnsi="Bell MT" w:cs="Arial"/>
          <w:bCs/>
          <w:i/>
          <w:iCs/>
          <w:color w:val="000000"/>
          <w:sz w:val="24"/>
          <w:szCs w:val="24"/>
        </w:rPr>
        <w:t>caput</w:t>
      </w:r>
      <w:r w:rsidR="00D67E20" w:rsidRPr="00473970">
        <w:rPr>
          <w:rFonts w:ascii="Bell MT" w:hAnsi="Bell MT" w:cs="Arial"/>
          <w:bCs/>
          <w:iCs/>
          <w:color w:val="000000"/>
          <w:sz w:val="24"/>
          <w:szCs w:val="24"/>
        </w:rPr>
        <w:t>, e seus incisos VII, VIII, X e XI, c/c art. 53, inciso IX, todos da Lei Complementar Estadual nº 055/2009</w:t>
      </w:r>
      <w:r w:rsidR="00D67E20">
        <w:rPr>
          <w:rFonts w:ascii="Bell MT" w:hAnsi="Bell MT" w:cs="Arial"/>
          <w:bCs/>
          <w:iCs/>
          <w:color w:val="000000"/>
          <w:sz w:val="24"/>
          <w:szCs w:val="24"/>
        </w:rPr>
        <w:t xml:space="preserve"> </w:t>
      </w:r>
      <w:r w:rsidR="00D67E20" w:rsidRPr="00473970">
        <w:rPr>
          <w:rFonts w:ascii="Bell MT" w:hAnsi="Bell MT" w:cs="Arial"/>
          <w:sz w:val="24"/>
          <w:szCs w:val="24"/>
        </w:rPr>
        <w:t>c/c art. 1º, incisos IV e VIII, c/c art. 5º, inciso II, da Lei Federal nº 7.347/85, c/c art. 81, incisos I e II na forma do art. 90 do Código de Defesa do Consumidor, e, ainda, de acordo com os preceitos gerais estatuídos no Código de Processo Civil e no microssistema de tutela jurisdicional coletiva, formado pela completa interação entre as Leis 7.347/85 e 8.078/90</w:t>
      </w:r>
      <w:r w:rsidR="00D67E20" w:rsidRPr="00473970">
        <w:rPr>
          <w:rStyle w:val="Refdenotaderodap"/>
          <w:rFonts w:ascii="Bell MT" w:hAnsi="Bell MT" w:cs="Arial"/>
          <w:sz w:val="24"/>
          <w:szCs w:val="24"/>
        </w:rPr>
        <w:footnoteReference w:id="1"/>
      </w:r>
      <w:r w:rsidR="00D67E20" w:rsidRPr="00473970">
        <w:rPr>
          <w:rFonts w:ascii="Bell MT" w:hAnsi="Bell MT" w:cs="Arial"/>
          <w:sz w:val="24"/>
          <w:szCs w:val="24"/>
        </w:rPr>
        <w:t xml:space="preserve">, </w:t>
      </w:r>
      <w:r w:rsidR="00D67E20">
        <w:rPr>
          <w:rFonts w:ascii="Bell MT" w:hAnsi="Bell MT" w:cs="Arial"/>
          <w:sz w:val="24"/>
          <w:szCs w:val="24"/>
        </w:rPr>
        <w:t xml:space="preserve">e </w:t>
      </w:r>
      <w:r w:rsidR="00D67E20" w:rsidRPr="00473970">
        <w:rPr>
          <w:rFonts w:ascii="Bell MT" w:hAnsi="Bell MT" w:cs="Arial"/>
          <w:b/>
          <w:bCs/>
          <w:sz w:val="24"/>
          <w:szCs w:val="24"/>
        </w:rPr>
        <w:t xml:space="preserve">CONSIDERANDO </w:t>
      </w:r>
      <w:r w:rsidR="00D67E20" w:rsidRPr="00473970">
        <w:rPr>
          <w:rFonts w:ascii="Bell MT" w:hAnsi="Bell MT" w:cs="Arial"/>
          <w:sz w:val="24"/>
          <w:szCs w:val="24"/>
        </w:rPr>
        <w:t>que:</w:t>
      </w:r>
    </w:p>
    <w:p w:rsidR="00D67E20" w:rsidRDefault="00D67E20" w:rsidP="00D67E20">
      <w:pPr>
        <w:spacing w:line="360" w:lineRule="auto"/>
        <w:ind w:firstLine="1418"/>
        <w:jc w:val="both"/>
        <w:rPr>
          <w:rFonts w:ascii="Bell MT" w:hAnsi="Bell MT" w:cs="Arial"/>
          <w:color w:val="000000"/>
          <w:sz w:val="24"/>
          <w:szCs w:val="24"/>
        </w:rPr>
      </w:pPr>
      <w:r w:rsidRPr="00473970">
        <w:rPr>
          <w:rFonts w:ascii="Bell MT" w:hAnsi="Bell MT" w:cs="Arial"/>
          <w:b/>
          <w:sz w:val="24"/>
          <w:szCs w:val="24"/>
        </w:rPr>
        <w:t>A</w:t>
      </w:r>
      <w:r w:rsidRPr="00473970">
        <w:rPr>
          <w:rFonts w:ascii="Bell MT" w:hAnsi="Bell MT" w:cs="Arial"/>
          <w:sz w:val="24"/>
          <w:szCs w:val="24"/>
        </w:rPr>
        <w:t xml:space="preserve"> Defensoria </w:t>
      </w:r>
      <w:r w:rsidRPr="00473970">
        <w:rPr>
          <w:rFonts w:ascii="Bell MT" w:hAnsi="Bell MT" w:cs="Arial"/>
          <w:color w:val="000000"/>
          <w:sz w:val="24"/>
          <w:szCs w:val="24"/>
        </w:rPr>
        <w:t xml:space="preserve">Pública é instituição permanente, essencial à função jurisdicional do Estado, incumbindo-lhe, como expressão e instrumento do regime democrático, fundamentalmente, a orientação jurídica, a promoção dos direitos humanos e </w:t>
      </w:r>
      <w:r w:rsidRPr="00452C8F">
        <w:rPr>
          <w:rFonts w:ascii="Bell MT" w:hAnsi="Bell MT" w:cs="Arial"/>
          <w:b/>
          <w:color w:val="000000"/>
          <w:sz w:val="24"/>
          <w:szCs w:val="24"/>
        </w:rPr>
        <w:t>a defesa em todos os graus, judicial e extrajudicial</w:t>
      </w:r>
      <w:r w:rsidRPr="00473970">
        <w:rPr>
          <w:rFonts w:ascii="Bell MT" w:hAnsi="Bell MT" w:cs="Arial"/>
          <w:color w:val="000000"/>
          <w:sz w:val="24"/>
          <w:szCs w:val="24"/>
        </w:rPr>
        <w:t xml:space="preserve">, </w:t>
      </w:r>
      <w:r w:rsidRPr="00452C8F">
        <w:rPr>
          <w:rFonts w:ascii="Bell MT" w:hAnsi="Bell MT" w:cs="Arial"/>
          <w:b/>
          <w:color w:val="000000"/>
          <w:sz w:val="24"/>
          <w:szCs w:val="24"/>
        </w:rPr>
        <w:t>dos direitos individuais e coletivos, de forma integral e gratuita</w:t>
      </w:r>
      <w:r w:rsidRPr="00473970">
        <w:rPr>
          <w:rFonts w:ascii="Bell MT" w:hAnsi="Bell MT" w:cs="Arial"/>
          <w:color w:val="000000"/>
          <w:sz w:val="24"/>
          <w:szCs w:val="24"/>
        </w:rPr>
        <w:t>, aos necessitados, assim considerados na forma do inciso LXXIV do art. 5º da Constituição da República Federativa do Brasil;</w:t>
      </w:r>
      <w:r w:rsidRPr="00473970">
        <w:rPr>
          <w:rStyle w:val="apple-converted-space"/>
          <w:rFonts w:ascii="Bell MT" w:hAnsi="Bell MT"/>
          <w:color w:val="000000"/>
          <w:sz w:val="24"/>
          <w:szCs w:val="24"/>
          <w:shd w:val="clear" w:color="auto" w:fill="FFFFFF"/>
        </w:rPr>
        <w:t> </w:t>
      </w:r>
      <w:hyperlink r:id="rId9" w:anchor="art1" w:history="1">
        <w:r w:rsidRPr="00473970">
          <w:rPr>
            <w:rStyle w:val="Hyperlink"/>
            <w:rFonts w:ascii="Bell MT" w:hAnsi="Bell MT" w:cs="Arial"/>
            <w:color w:val="000000"/>
            <w:sz w:val="24"/>
            <w:szCs w:val="24"/>
            <w:shd w:val="clear" w:color="auto" w:fill="FFFFFF"/>
          </w:rPr>
          <w:t>(Redação dada pela Emenda Constitucional nº 80, de 2014)</w:t>
        </w:r>
      </w:hyperlink>
      <w:r w:rsidRPr="00473970">
        <w:rPr>
          <w:rFonts w:ascii="Bell MT" w:hAnsi="Bell MT" w:cs="Arial"/>
          <w:color w:val="000000"/>
          <w:sz w:val="24"/>
          <w:szCs w:val="24"/>
        </w:rPr>
        <w:t>;</w:t>
      </w:r>
    </w:p>
    <w:p w:rsidR="00D67E20" w:rsidRDefault="00D67E20" w:rsidP="00910B11">
      <w:pPr>
        <w:spacing w:line="360" w:lineRule="auto"/>
        <w:ind w:firstLine="1418"/>
        <w:jc w:val="both"/>
        <w:rPr>
          <w:rFonts w:ascii="Bell MT" w:hAnsi="Bell MT" w:cs="Arial"/>
          <w:sz w:val="24"/>
          <w:szCs w:val="24"/>
        </w:rPr>
      </w:pPr>
      <w:r w:rsidRPr="00473970">
        <w:rPr>
          <w:rFonts w:ascii="Bell MT" w:hAnsi="Bell MT" w:cs="Arial"/>
          <w:b/>
          <w:color w:val="000000"/>
          <w:sz w:val="24"/>
          <w:szCs w:val="24"/>
        </w:rPr>
        <w:t xml:space="preserve">A </w:t>
      </w:r>
      <w:r w:rsidRPr="00473970">
        <w:rPr>
          <w:rFonts w:ascii="Bell MT" w:hAnsi="Bell MT" w:cs="Arial"/>
          <w:color w:val="000000"/>
          <w:sz w:val="24"/>
          <w:szCs w:val="24"/>
        </w:rPr>
        <w:t xml:space="preserve">função institucional de promover a orientação jurídica e a defesa, em todos os graus, dos necessitados, </w:t>
      </w:r>
      <w:r w:rsidRPr="00473970">
        <w:rPr>
          <w:rFonts w:ascii="Bell MT" w:hAnsi="Bell MT" w:cs="Arial"/>
          <w:sz w:val="24"/>
          <w:szCs w:val="24"/>
        </w:rPr>
        <w:t xml:space="preserve">na forma do artigo 5º, inciso LXXIV, da Constituição da República do </w:t>
      </w:r>
      <w:r w:rsidRPr="00473970">
        <w:rPr>
          <w:rFonts w:ascii="Bell MT" w:hAnsi="Bell MT" w:cs="Arial"/>
          <w:sz w:val="24"/>
          <w:szCs w:val="24"/>
        </w:rPr>
        <w:lastRenderedPageBreak/>
        <w:t xml:space="preserve">Brasil outorga à Defensoria Pública legitimidade </w:t>
      </w:r>
      <w:r w:rsidRPr="00452C8F">
        <w:rPr>
          <w:rFonts w:ascii="Bell MT" w:hAnsi="Bell MT" w:cs="Arial"/>
          <w:b/>
          <w:sz w:val="24"/>
          <w:szCs w:val="24"/>
        </w:rPr>
        <w:t>para promover a ação civil pública e todas as espécies de ações capazes de propiciar a adequada tutela dos direitos difusos, coletivos ou individuais homogêneos, quando o resultado da demanda puder beneficiar grupo de pessoas hipossuficientes</w:t>
      </w:r>
      <w:r w:rsidRPr="00473970">
        <w:rPr>
          <w:rFonts w:ascii="Bell MT" w:hAnsi="Bell MT" w:cs="Arial"/>
          <w:sz w:val="24"/>
          <w:szCs w:val="24"/>
        </w:rPr>
        <w:t>, na forma do art. 1º, incisos IV e VIII, c/c art. 5º, inciso II, da Lei Federal nº 7.347/85, além de toda a legislação que compõe o Microssistema de tutela coletiva (Lei da Ação Civil Pública, Código de Defesa do Consumidor, Lei da Ação Popular);</w:t>
      </w:r>
    </w:p>
    <w:p w:rsidR="004E4D4E" w:rsidRDefault="008E4C4B" w:rsidP="004E4D4E">
      <w:pPr>
        <w:autoSpaceDE w:val="0"/>
        <w:spacing w:line="360" w:lineRule="auto"/>
        <w:ind w:firstLine="1418"/>
        <w:jc w:val="both"/>
        <w:rPr>
          <w:rFonts w:ascii="Bell MT" w:eastAsia="ArialMT" w:hAnsi="Bell MT" w:cs="Arial"/>
          <w:sz w:val="24"/>
          <w:szCs w:val="24"/>
        </w:rPr>
      </w:pPr>
      <w:r w:rsidRPr="00E11A96">
        <w:rPr>
          <w:rFonts w:ascii="Bell MT" w:eastAsia="ArialMT" w:hAnsi="Bell MT" w:cs="Arial"/>
          <w:b/>
          <w:sz w:val="24"/>
          <w:szCs w:val="24"/>
        </w:rPr>
        <w:t>O</w:t>
      </w:r>
      <w:r w:rsidRPr="00E11A96">
        <w:rPr>
          <w:rFonts w:ascii="Bell MT" w:eastAsia="ArialMT" w:hAnsi="Bell MT" w:cs="Arial"/>
          <w:sz w:val="24"/>
          <w:szCs w:val="24"/>
        </w:rPr>
        <w:t xml:space="preserve"> art. 1º, inciso III, da Lei Federal n</w:t>
      </w:r>
      <w:r w:rsidR="00743334" w:rsidRPr="00E11A96">
        <w:rPr>
          <w:rFonts w:ascii="Bell MT" w:eastAsia="ArialMT" w:hAnsi="Bell MT" w:cs="Arial"/>
          <w:sz w:val="24"/>
          <w:szCs w:val="24"/>
        </w:rPr>
        <w:t>º 7.347/85, com a redação dada pela</w:t>
      </w:r>
      <w:r w:rsidRPr="00E11A96">
        <w:rPr>
          <w:rFonts w:ascii="Bell MT" w:eastAsia="ArialMT" w:hAnsi="Bell MT" w:cs="Arial"/>
          <w:sz w:val="24"/>
          <w:szCs w:val="24"/>
        </w:rPr>
        <w:t xml:space="preserve"> </w:t>
      </w:r>
      <w:r w:rsidRPr="00E11A96">
        <w:rPr>
          <w:rFonts w:ascii="Bell MT" w:eastAsia="ArialMT" w:hAnsi="Bell MT" w:cs="Arial"/>
          <w:b/>
          <w:sz w:val="24"/>
          <w:szCs w:val="24"/>
        </w:rPr>
        <w:t>Lei Federal nº 13004</w:t>
      </w:r>
      <w:r w:rsidR="00743334" w:rsidRPr="00E11A96">
        <w:rPr>
          <w:rFonts w:ascii="Bell MT" w:eastAsia="ArialMT" w:hAnsi="Bell MT" w:cs="Arial"/>
          <w:b/>
          <w:sz w:val="24"/>
          <w:szCs w:val="24"/>
        </w:rPr>
        <w:t>, de 24 de junho de 2014</w:t>
      </w:r>
      <w:r w:rsidR="00743334" w:rsidRPr="00E11A96">
        <w:rPr>
          <w:rFonts w:ascii="Bell MT" w:eastAsia="ArialMT" w:hAnsi="Bell MT" w:cs="Arial"/>
          <w:sz w:val="24"/>
          <w:szCs w:val="24"/>
        </w:rPr>
        <w:t xml:space="preserve">, </w:t>
      </w:r>
      <w:r w:rsidR="00AC3396">
        <w:rPr>
          <w:rFonts w:ascii="Bell MT" w:eastAsia="ArialMT" w:hAnsi="Bell MT" w:cs="Arial"/>
          <w:sz w:val="24"/>
          <w:szCs w:val="24"/>
        </w:rPr>
        <w:t>outorgou à</w:t>
      </w:r>
      <w:r w:rsidRPr="00E11A96">
        <w:rPr>
          <w:rFonts w:ascii="Bell MT" w:eastAsia="ArialMT" w:hAnsi="Bell MT" w:cs="Arial"/>
          <w:sz w:val="24"/>
          <w:szCs w:val="24"/>
        </w:rPr>
        <w:t xml:space="preserve"> Defensoria Pública e aos demais legitimados a </w:t>
      </w:r>
      <w:r w:rsidRPr="0054629B">
        <w:rPr>
          <w:rFonts w:ascii="Bell MT" w:eastAsia="ArialMT" w:hAnsi="Bell MT" w:cs="Arial"/>
          <w:sz w:val="24"/>
          <w:szCs w:val="24"/>
        </w:rPr>
        <w:t>defesa do patrimônio público e social</w:t>
      </w:r>
      <w:r w:rsidR="00743334" w:rsidRPr="0054629B">
        <w:rPr>
          <w:rFonts w:ascii="Bell MT" w:eastAsia="ArialMT" w:hAnsi="Bell MT" w:cs="Arial"/>
          <w:sz w:val="24"/>
          <w:szCs w:val="24"/>
        </w:rPr>
        <w:t>;</w:t>
      </w:r>
    </w:p>
    <w:p w:rsidR="004E4D4E" w:rsidRPr="00437E43" w:rsidRDefault="004E4D4E" w:rsidP="004E4D4E">
      <w:pPr>
        <w:autoSpaceDE w:val="0"/>
        <w:spacing w:line="360" w:lineRule="auto"/>
        <w:ind w:firstLine="1418"/>
        <w:jc w:val="both"/>
        <w:rPr>
          <w:rFonts w:ascii="Bell MT" w:hAnsi="Bell MT"/>
          <w:sz w:val="24"/>
          <w:szCs w:val="24"/>
        </w:rPr>
      </w:pPr>
      <w:r w:rsidRPr="004E4D4E">
        <w:rPr>
          <w:rFonts w:ascii="Bell MT" w:hAnsi="Bell MT"/>
          <w:b/>
          <w:sz w:val="24"/>
          <w:szCs w:val="24"/>
        </w:rPr>
        <w:t>A</w:t>
      </w:r>
      <w:r>
        <w:rPr>
          <w:rFonts w:ascii="Bell MT" w:hAnsi="Bell MT"/>
          <w:sz w:val="24"/>
          <w:szCs w:val="24"/>
        </w:rPr>
        <w:t xml:space="preserve"> </w:t>
      </w:r>
      <w:r w:rsidRPr="00437E43">
        <w:rPr>
          <w:rFonts w:ascii="Bell MT" w:hAnsi="Bell MT"/>
          <w:sz w:val="24"/>
          <w:szCs w:val="24"/>
        </w:rPr>
        <w:t>Constituição Federal traz como fundamento da República Federativa do Brasil a dignidade da pessoa humana, bem como o objetivo de construir uma sociedade livre, justa e solidária; erradicar a pobreza e a marginalização e reduzir as desigualdades sociais e regionais; promover o bem de todos, sem preconceitos de origem, raça, sexo, cor, idade e quaisquer outras formas de discrimin</w:t>
      </w:r>
      <w:r w:rsidR="003576A6">
        <w:rPr>
          <w:rFonts w:ascii="Bell MT" w:hAnsi="Bell MT"/>
          <w:sz w:val="24"/>
          <w:szCs w:val="24"/>
        </w:rPr>
        <w:t>ação (art. 1º c/c art. 3º, da CRFB</w:t>
      </w:r>
      <w:r w:rsidR="0054629B">
        <w:rPr>
          <w:rFonts w:ascii="Bell MT" w:hAnsi="Bell MT"/>
          <w:sz w:val="24"/>
          <w:szCs w:val="24"/>
        </w:rPr>
        <w:t>/</w:t>
      </w:r>
      <w:r w:rsidR="0054629B" w:rsidRPr="0054629B">
        <w:rPr>
          <w:rFonts w:ascii="Bell MT" w:hAnsi="Bell MT"/>
          <w:b/>
          <w:sz w:val="24"/>
          <w:szCs w:val="24"/>
        </w:rPr>
        <w:t>88</w:t>
      </w:r>
      <w:r w:rsidRPr="00437E43">
        <w:rPr>
          <w:rFonts w:ascii="Bell MT" w:hAnsi="Bell MT"/>
          <w:sz w:val="24"/>
          <w:szCs w:val="24"/>
        </w:rPr>
        <w:t>);</w:t>
      </w:r>
    </w:p>
    <w:p w:rsidR="004E4D4E" w:rsidRDefault="004E4D4E" w:rsidP="004E4D4E">
      <w:pPr>
        <w:autoSpaceDE w:val="0"/>
        <w:spacing w:line="360" w:lineRule="auto"/>
        <w:ind w:firstLine="1418"/>
        <w:jc w:val="both"/>
        <w:rPr>
          <w:rFonts w:ascii="Bell MT" w:hAnsi="Bell MT"/>
          <w:sz w:val="24"/>
          <w:szCs w:val="24"/>
        </w:rPr>
      </w:pPr>
      <w:r w:rsidRPr="004E4D4E">
        <w:rPr>
          <w:rFonts w:ascii="Bell MT" w:hAnsi="Bell MT"/>
          <w:b/>
          <w:sz w:val="24"/>
          <w:szCs w:val="24"/>
        </w:rPr>
        <w:t>O</w:t>
      </w:r>
      <w:r>
        <w:rPr>
          <w:rFonts w:ascii="Bell MT" w:hAnsi="Bell MT"/>
          <w:sz w:val="24"/>
          <w:szCs w:val="24"/>
        </w:rPr>
        <w:t xml:space="preserve"> </w:t>
      </w:r>
      <w:r w:rsidRPr="00437E43">
        <w:rPr>
          <w:rFonts w:ascii="Bell MT" w:hAnsi="Bell MT"/>
          <w:sz w:val="24"/>
          <w:szCs w:val="24"/>
        </w:rPr>
        <w:t>Princípio da Função Social da P</w:t>
      </w:r>
      <w:r w:rsidR="0054629B">
        <w:rPr>
          <w:rFonts w:ascii="Bell MT" w:hAnsi="Bell MT"/>
          <w:sz w:val="24"/>
          <w:szCs w:val="24"/>
        </w:rPr>
        <w:t>ropriedade, insculpido no art.</w:t>
      </w:r>
      <w:r w:rsidRPr="00437E43">
        <w:rPr>
          <w:rFonts w:ascii="Bell MT" w:hAnsi="Bell MT"/>
          <w:sz w:val="24"/>
          <w:szCs w:val="24"/>
        </w:rPr>
        <w:t xml:space="preserve"> 170, inciso III, da Constituição</w:t>
      </w:r>
      <w:r w:rsidR="00656623">
        <w:rPr>
          <w:rFonts w:ascii="Bell MT" w:hAnsi="Bell MT"/>
          <w:sz w:val="24"/>
          <w:szCs w:val="24"/>
        </w:rPr>
        <w:t xml:space="preserve"> da República Federativa do Brasil</w:t>
      </w:r>
      <w:r w:rsidR="0054629B">
        <w:rPr>
          <w:rFonts w:ascii="Bell MT" w:hAnsi="Bell MT"/>
          <w:sz w:val="24"/>
          <w:szCs w:val="24"/>
        </w:rPr>
        <w:t>/88</w:t>
      </w:r>
      <w:r w:rsidRPr="00437E43">
        <w:rPr>
          <w:rFonts w:ascii="Bell MT" w:hAnsi="Bell MT"/>
          <w:sz w:val="24"/>
          <w:szCs w:val="24"/>
        </w:rPr>
        <w:t xml:space="preserve">, que impede o abuso do exercício deste direito, exigindo, assim, deveres de seu titular </w:t>
      </w:r>
      <w:r w:rsidR="003576A6">
        <w:rPr>
          <w:rFonts w:ascii="Bell MT" w:hAnsi="Bell MT"/>
          <w:sz w:val="24"/>
          <w:szCs w:val="24"/>
        </w:rPr>
        <w:t xml:space="preserve">na utilização do bem, destacando-se que </w:t>
      </w:r>
      <w:r w:rsidR="00DB5336">
        <w:rPr>
          <w:rFonts w:ascii="Bell MT" w:hAnsi="Bell MT"/>
          <w:sz w:val="24"/>
          <w:szCs w:val="24"/>
        </w:rPr>
        <w:t>a propriedade pública</w:t>
      </w:r>
      <w:r w:rsidRPr="00437E43">
        <w:rPr>
          <w:rFonts w:ascii="Bell MT" w:hAnsi="Bell MT"/>
          <w:sz w:val="24"/>
          <w:szCs w:val="24"/>
        </w:rPr>
        <w:t xml:space="preserve"> </w:t>
      </w:r>
      <w:r w:rsidR="003576A6">
        <w:rPr>
          <w:rFonts w:ascii="Bell MT" w:hAnsi="Bell MT"/>
          <w:sz w:val="24"/>
          <w:szCs w:val="24"/>
        </w:rPr>
        <w:t xml:space="preserve">também se condiciona </w:t>
      </w:r>
      <w:r w:rsidRPr="00437E43">
        <w:rPr>
          <w:rFonts w:ascii="Bell MT" w:hAnsi="Bell MT"/>
          <w:sz w:val="24"/>
          <w:szCs w:val="24"/>
        </w:rPr>
        <w:t>ao adimplemento de deveres sociais;</w:t>
      </w:r>
    </w:p>
    <w:p w:rsidR="003576A6" w:rsidRDefault="004E4D4E" w:rsidP="00656623">
      <w:pPr>
        <w:autoSpaceDE w:val="0"/>
        <w:spacing w:line="360" w:lineRule="auto"/>
        <w:ind w:firstLine="1418"/>
        <w:jc w:val="both"/>
        <w:rPr>
          <w:rFonts w:ascii="Bell MT" w:hAnsi="Bell MT"/>
          <w:sz w:val="24"/>
          <w:szCs w:val="24"/>
        </w:rPr>
      </w:pPr>
      <w:r w:rsidRPr="004E4D4E">
        <w:rPr>
          <w:rFonts w:ascii="Bell MT" w:hAnsi="Bell MT"/>
          <w:b/>
          <w:sz w:val="24"/>
          <w:szCs w:val="24"/>
        </w:rPr>
        <w:t>As</w:t>
      </w:r>
      <w:r w:rsidRPr="00437E43">
        <w:rPr>
          <w:rFonts w:ascii="Bell MT" w:hAnsi="Bell MT"/>
          <w:sz w:val="24"/>
          <w:szCs w:val="24"/>
        </w:rPr>
        <w:t xml:space="preserve"> diretrizes da polít</w:t>
      </w:r>
      <w:r w:rsidR="0054629B">
        <w:rPr>
          <w:rFonts w:ascii="Bell MT" w:hAnsi="Bell MT"/>
          <w:sz w:val="24"/>
          <w:szCs w:val="24"/>
        </w:rPr>
        <w:t>ica urbana, inscritas no art.</w:t>
      </w:r>
      <w:r w:rsidRPr="00437E43">
        <w:rPr>
          <w:rFonts w:ascii="Bell MT" w:hAnsi="Bell MT"/>
          <w:sz w:val="24"/>
          <w:szCs w:val="24"/>
        </w:rPr>
        <w:t>182 da</w:t>
      </w:r>
      <w:r w:rsidR="0054629B">
        <w:rPr>
          <w:rFonts w:ascii="Bell MT" w:hAnsi="Bell MT"/>
          <w:sz w:val="24"/>
          <w:szCs w:val="24"/>
        </w:rPr>
        <w:t xml:space="preserve"> </w:t>
      </w:r>
      <w:r w:rsidR="0054629B" w:rsidRPr="00437E43">
        <w:rPr>
          <w:rFonts w:ascii="Bell MT" w:hAnsi="Bell MT"/>
          <w:sz w:val="24"/>
          <w:szCs w:val="24"/>
        </w:rPr>
        <w:t>Constituição</w:t>
      </w:r>
      <w:r w:rsidR="0054629B">
        <w:rPr>
          <w:rFonts w:ascii="Bell MT" w:hAnsi="Bell MT"/>
          <w:sz w:val="24"/>
          <w:szCs w:val="24"/>
        </w:rPr>
        <w:t xml:space="preserve"> da R</w:t>
      </w:r>
      <w:r w:rsidR="00DB5336">
        <w:rPr>
          <w:rFonts w:ascii="Bell MT" w:hAnsi="Bell MT"/>
          <w:sz w:val="24"/>
          <w:szCs w:val="24"/>
        </w:rPr>
        <w:t>epública Federativa do Brasil</w:t>
      </w:r>
      <w:r w:rsidR="0054629B">
        <w:rPr>
          <w:rFonts w:ascii="Bell MT" w:hAnsi="Bell MT"/>
          <w:sz w:val="24"/>
          <w:szCs w:val="24"/>
        </w:rPr>
        <w:t xml:space="preserve">, </w:t>
      </w:r>
      <w:r w:rsidRPr="00437E43">
        <w:rPr>
          <w:rFonts w:ascii="Bell MT" w:hAnsi="Bell MT"/>
          <w:sz w:val="24"/>
          <w:szCs w:val="24"/>
        </w:rPr>
        <w:t>torna imperativa a observância dos preceitos insertos no Pla</w:t>
      </w:r>
      <w:r w:rsidR="003576A6">
        <w:rPr>
          <w:rFonts w:ascii="Bell MT" w:hAnsi="Bell MT"/>
          <w:sz w:val="24"/>
          <w:szCs w:val="24"/>
        </w:rPr>
        <w:t>no Diretor da Cidade e institui</w:t>
      </w:r>
      <w:r w:rsidRPr="00437E43">
        <w:rPr>
          <w:rFonts w:ascii="Bell MT" w:hAnsi="Bell MT"/>
          <w:sz w:val="24"/>
          <w:szCs w:val="24"/>
        </w:rPr>
        <w:t xml:space="preserve"> </w:t>
      </w:r>
      <w:r w:rsidR="003576A6">
        <w:rPr>
          <w:rFonts w:ascii="Bell MT" w:hAnsi="Bell MT"/>
          <w:sz w:val="24"/>
          <w:szCs w:val="24"/>
        </w:rPr>
        <w:t>mecanismos eficazes de política urbana</w:t>
      </w:r>
      <w:r w:rsidRPr="00437E43">
        <w:rPr>
          <w:rFonts w:ascii="Bell MT" w:hAnsi="Bell MT"/>
          <w:sz w:val="24"/>
          <w:szCs w:val="24"/>
        </w:rPr>
        <w:t>, com vistas à justa distribuição de bens sociais;</w:t>
      </w:r>
    </w:p>
    <w:p w:rsidR="00656623" w:rsidRDefault="003576A6" w:rsidP="00656623">
      <w:pPr>
        <w:autoSpaceDE w:val="0"/>
        <w:spacing w:line="360" w:lineRule="auto"/>
        <w:ind w:firstLine="1418"/>
        <w:jc w:val="both"/>
        <w:rPr>
          <w:rFonts w:ascii="Bell MT" w:hAnsi="Bell MT"/>
          <w:sz w:val="24"/>
          <w:szCs w:val="24"/>
        </w:rPr>
      </w:pPr>
      <w:r w:rsidRPr="003576A6">
        <w:rPr>
          <w:rFonts w:ascii="Bell MT" w:hAnsi="Bell MT"/>
          <w:b/>
          <w:sz w:val="24"/>
          <w:szCs w:val="24"/>
        </w:rPr>
        <w:t>O</w:t>
      </w:r>
      <w:r>
        <w:rPr>
          <w:rFonts w:ascii="Bell MT" w:hAnsi="Bell MT"/>
          <w:sz w:val="24"/>
          <w:szCs w:val="24"/>
        </w:rPr>
        <w:t xml:space="preserve"> </w:t>
      </w:r>
      <w:r w:rsidR="004E4D4E" w:rsidRPr="00437E43">
        <w:rPr>
          <w:rFonts w:ascii="Bell MT" w:hAnsi="Bell MT"/>
          <w:sz w:val="24"/>
          <w:szCs w:val="24"/>
        </w:rPr>
        <w:t>direito constitucional à cidade e</w:t>
      </w:r>
      <w:r>
        <w:rPr>
          <w:rFonts w:ascii="Bell MT" w:hAnsi="Bell MT"/>
          <w:sz w:val="24"/>
          <w:szCs w:val="24"/>
        </w:rPr>
        <w:t xml:space="preserve"> à moradia (arts. 6º e 182 da CRFB/88</w:t>
      </w:r>
      <w:r w:rsidR="004E4D4E" w:rsidRPr="00437E43">
        <w:rPr>
          <w:rFonts w:ascii="Bell MT" w:hAnsi="Bell MT"/>
          <w:sz w:val="24"/>
          <w:szCs w:val="24"/>
        </w:rPr>
        <w:t xml:space="preserve"> c/c art. 2º, inc. I, do Estatuto da Cidade);</w:t>
      </w:r>
    </w:p>
    <w:p w:rsidR="00656623" w:rsidRDefault="00656623" w:rsidP="00656623">
      <w:pPr>
        <w:autoSpaceDE w:val="0"/>
        <w:spacing w:line="360" w:lineRule="auto"/>
        <w:ind w:firstLine="1418"/>
        <w:jc w:val="both"/>
        <w:rPr>
          <w:rFonts w:ascii="Bell MT" w:hAnsi="Bell MT"/>
          <w:sz w:val="24"/>
          <w:szCs w:val="24"/>
        </w:rPr>
      </w:pPr>
      <w:r w:rsidRPr="005D0E1D">
        <w:rPr>
          <w:rFonts w:ascii="Bell MT" w:hAnsi="Bell MT"/>
          <w:b/>
          <w:sz w:val="24"/>
          <w:szCs w:val="24"/>
        </w:rPr>
        <w:t>O</w:t>
      </w:r>
      <w:r w:rsidRPr="005D0E1D">
        <w:rPr>
          <w:rFonts w:ascii="Bell MT" w:hAnsi="Bell MT"/>
          <w:sz w:val="24"/>
          <w:szCs w:val="24"/>
        </w:rPr>
        <w:t xml:space="preserve"> Brasil é signatário do Pacto Internacional dos Direitos Econômicos, Sociais e Cul</w:t>
      </w:r>
      <w:r w:rsidR="00DB5336">
        <w:rPr>
          <w:rFonts w:ascii="Bell MT" w:hAnsi="Bell MT"/>
          <w:sz w:val="24"/>
          <w:szCs w:val="24"/>
        </w:rPr>
        <w:t>turais, que, em seu artigo 11, parágrafo</w:t>
      </w:r>
      <w:r w:rsidRPr="005D0E1D">
        <w:rPr>
          <w:rFonts w:ascii="Bell MT" w:hAnsi="Bell MT"/>
          <w:sz w:val="24"/>
          <w:szCs w:val="24"/>
        </w:rPr>
        <w:t xml:space="preserve"> 1º, prescreve que o direito à moradia encontra-se </w:t>
      </w:r>
      <w:r w:rsidR="00CB6B16">
        <w:rPr>
          <w:rFonts w:ascii="Bell MT" w:hAnsi="Bell MT"/>
          <w:sz w:val="24"/>
          <w:szCs w:val="24"/>
        </w:rPr>
        <w:t>compreendido n</w:t>
      </w:r>
      <w:r w:rsidRPr="005D0E1D">
        <w:rPr>
          <w:rFonts w:ascii="Bell MT" w:hAnsi="Bell MT"/>
          <w:sz w:val="24"/>
          <w:szCs w:val="24"/>
        </w:rPr>
        <w:t xml:space="preserve">o espectro de nível adequado de vida; </w:t>
      </w:r>
    </w:p>
    <w:p w:rsidR="00656623" w:rsidRDefault="00656623" w:rsidP="00D36162">
      <w:pPr>
        <w:autoSpaceDE w:val="0"/>
        <w:spacing w:line="360" w:lineRule="auto"/>
        <w:ind w:firstLine="1418"/>
        <w:jc w:val="both"/>
        <w:rPr>
          <w:rFonts w:ascii="Bell MT" w:hAnsi="Bell MT"/>
          <w:sz w:val="24"/>
          <w:szCs w:val="24"/>
        </w:rPr>
      </w:pPr>
      <w:r w:rsidRPr="005D0E1D">
        <w:rPr>
          <w:rFonts w:ascii="Bell MT" w:hAnsi="Bell MT"/>
          <w:b/>
          <w:sz w:val="24"/>
          <w:szCs w:val="24"/>
        </w:rPr>
        <w:t>O</w:t>
      </w:r>
      <w:r w:rsidR="00DB5336">
        <w:rPr>
          <w:rFonts w:ascii="Bell MT" w:hAnsi="Bell MT"/>
          <w:sz w:val="24"/>
          <w:szCs w:val="24"/>
        </w:rPr>
        <w:t xml:space="preserve"> Comentário Geral da ONU nº </w:t>
      </w:r>
      <w:r w:rsidRPr="005D0E1D">
        <w:rPr>
          <w:rFonts w:ascii="Bell MT" w:hAnsi="Bell MT"/>
          <w:sz w:val="24"/>
          <w:szCs w:val="24"/>
        </w:rPr>
        <w:t>7, que dá fiel interpretação à normativa internacional, contempla garantias e diretrizes para evitar que as desocupações forçadas tornem-se graves violações de direitos humanos, as quais são vinculantes aos Estados-membros;</w:t>
      </w:r>
    </w:p>
    <w:p w:rsidR="00DB5336" w:rsidRDefault="00DB5336" w:rsidP="00656623">
      <w:pPr>
        <w:autoSpaceDE w:val="0"/>
        <w:spacing w:line="360" w:lineRule="auto"/>
        <w:ind w:firstLine="1418"/>
        <w:jc w:val="both"/>
        <w:rPr>
          <w:rFonts w:ascii="Bell MT" w:hAnsi="Bell MT"/>
          <w:b/>
          <w:sz w:val="24"/>
          <w:szCs w:val="24"/>
        </w:rPr>
      </w:pPr>
    </w:p>
    <w:p w:rsidR="00656623" w:rsidRPr="005D0E1D" w:rsidRDefault="00656623" w:rsidP="00656623">
      <w:pPr>
        <w:autoSpaceDE w:val="0"/>
        <w:spacing w:line="360" w:lineRule="auto"/>
        <w:ind w:firstLine="1418"/>
        <w:jc w:val="both"/>
        <w:rPr>
          <w:rFonts w:ascii="Bell MT" w:hAnsi="Bell MT"/>
          <w:sz w:val="24"/>
          <w:szCs w:val="24"/>
        </w:rPr>
      </w:pPr>
      <w:r w:rsidRPr="005D0E1D">
        <w:rPr>
          <w:rFonts w:ascii="Bell MT" w:hAnsi="Bell MT"/>
          <w:b/>
          <w:sz w:val="24"/>
          <w:szCs w:val="24"/>
        </w:rPr>
        <w:t>O</w:t>
      </w:r>
      <w:r w:rsidR="00DB5336">
        <w:rPr>
          <w:rFonts w:ascii="Bell MT" w:hAnsi="Bell MT"/>
          <w:b/>
          <w:sz w:val="24"/>
          <w:szCs w:val="24"/>
        </w:rPr>
        <w:t xml:space="preserve"> </w:t>
      </w:r>
      <w:r w:rsidR="00DB5336">
        <w:rPr>
          <w:rFonts w:ascii="Bell MT" w:hAnsi="Bell MT"/>
          <w:sz w:val="24"/>
          <w:szCs w:val="24"/>
        </w:rPr>
        <w:t>teor do</w:t>
      </w:r>
      <w:r w:rsidRPr="005D0E1D">
        <w:rPr>
          <w:rFonts w:ascii="Bell MT" w:hAnsi="Bell MT"/>
          <w:sz w:val="24"/>
          <w:szCs w:val="24"/>
        </w:rPr>
        <w:t xml:space="preserve"> “Relatório com ferramentas práticas para implementação do direito à moradia e Guia com princípios básicos em caso de remoções forçadas”, elaborado pelo Relator Especial da Organização das Nações Unidas para o direito à moradia adequada; </w:t>
      </w:r>
    </w:p>
    <w:p w:rsidR="00CD418D" w:rsidRDefault="00CD418D" w:rsidP="00CD418D">
      <w:pPr>
        <w:pStyle w:val="NormalWeb"/>
        <w:tabs>
          <w:tab w:val="left" w:pos="0"/>
        </w:tabs>
        <w:spacing w:before="0" w:after="0" w:line="360" w:lineRule="auto"/>
        <w:ind w:firstLine="1418"/>
        <w:jc w:val="both"/>
        <w:rPr>
          <w:rFonts w:ascii="Bell MT" w:hAnsi="Bell MT"/>
          <w:sz w:val="24"/>
          <w:szCs w:val="24"/>
        </w:rPr>
      </w:pPr>
      <w:r w:rsidRPr="00CD418D">
        <w:rPr>
          <w:rFonts w:ascii="Bell MT" w:hAnsi="Bell MT"/>
          <w:b/>
          <w:sz w:val="24"/>
          <w:szCs w:val="24"/>
        </w:rPr>
        <w:t xml:space="preserve">Os </w:t>
      </w:r>
      <w:r w:rsidR="00BF2CED">
        <w:rPr>
          <w:rFonts w:ascii="Bell MT" w:hAnsi="Bell MT"/>
          <w:sz w:val="24"/>
          <w:szCs w:val="24"/>
        </w:rPr>
        <w:t>princípios constitucionais da I</w:t>
      </w:r>
      <w:r>
        <w:rPr>
          <w:rFonts w:ascii="Bell MT" w:hAnsi="Bell MT"/>
          <w:sz w:val="24"/>
          <w:szCs w:val="24"/>
        </w:rPr>
        <w:t xml:space="preserve">mpessoalidade, </w:t>
      </w:r>
      <w:r w:rsidR="00BF2CED">
        <w:rPr>
          <w:rFonts w:ascii="Bell MT" w:hAnsi="Bell MT"/>
          <w:sz w:val="24"/>
          <w:szCs w:val="24"/>
        </w:rPr>
        <w:t>Publicidade, M</w:t>
      </w:r>
      <w:r w:rsidRPr="00EB4F10">
        <w:rPr>
          <w:rFonts w:ascii="Bell MT" w:hAnsi="Bell MT"/>
          <w:sz w:val="24"/>
          <w:szCs w:val="24"/>
        </w:rPr>
        <w:t>otiva</w:t>
      </w:r>
      <w:r w:rsidR="00BF2CED">
        <w:rPr>
          <w:rFonts w:ascii="Bell MT" w:hAnsi="Bell MT"/>
          <w:sz w:val="24"/>
          <w:szCs w:val="24"/>
        </w:rPr>
        <w:t>ção, do D</w:t>
      </w:r>
      <w:r>
        <w:rPr>
          <w:rFonts w:ascii="Bell MT" w:hAnsi="Bell MT"/>
          <w:sz w:val="24"/>
          <w:szCs w:val="24"/>
        </w:rPr>
        <w:t xml:space="preserve">evido </w:t>
      </w:r>
      <w:r w:rsidR="00BF2CED">
        <w:rPr>
          <w:rFonts w:ascii="Bell MT" w:hAnsi="Bell MT"/>
          <w:sz w:val="24"/>
          <w:szCs w:val="24"/>
        </w:rPr>
        <w:t>Processo L</w:t>
      </w:r>
      <w:r>
        <w:rPr>
          <w:rFonts w:ascii="Bell MT" w:hAnsi="Bell MT"/>
          <w:sz w:val="24"/>
          <w:szCs w:val="24"/>
        </w:rPr>
        <w:t xml:space="preserve">egal, </w:t>
      </w:r>
      <w:r w:rsidR="00BF2CED">
        <w:rPr>
          <w:rFonts w:ascii="Bell MT" w:hAnsi="Bell MT"/>
          <w:sz w:val="24"/>
          <w:szCs w:val="24"/>
        </w:rPr>
        <w:t>do C</w:t>
      </w:r>
      <w:r w:rsidRPr="00EB4F10">
        <w:rPr>
          <w:rFonts w:ascii="Bell MT" w:hAnsi="Bell MT"/>
          <w:sz w:val="24"/>
          <w:szCs w:val="24"/>
        </w:rPr>
        <w:t>ontraditório</w:t>
      </w:r>
      <w:r>
        <w:rPr>
          <w:rFonts w:ascii="Bell MT" w:hAnsi="Bell MT"/>
          <w:sz w:val="24"/>
          <w:szCs w:val="24"/>
        </w:rPr>
        <w:t xml:space="preserve"> e da </w:t>
      </w:r>
      <w:r w:rsidR="00BF2CED">
        <w:rPr>
          <w:rFonts w:ascii="Bell MT" w:hAnsi="Bell MT"/>
          <w:sz w:val="24"/>
          <w:szCs w:val="24"/>
        </w:rPr>
        <w:t>A</w:t>
      </w:r>
      <w:r>
        <w:rPr>
          <w:rFonts w:ascii="Bell MT" w:hAnsi="Bell MT"/>
          <w:sz w:val="24"/>
          <w:szCs w:val="24"/>
        </w:rPr>
        <w:t xml:space="preserve">mpla defesa, </w:t>
      </w:r>
      <w:r w:rsidRPr="00EB4F10">
        <w:rPr>
          <w:rFonts w:ascii="Bell MT" w:hAnsi="Bell MT"/>
          <w:sz w:val="24"/>
          <w:szCs w:val="24"/>
        </w:rPr>
        <w:t xml:space="preserve">da Responsabilidade do Estado pelos atos administrativos e, ainda, o Princípio da </w:t>
      </w:r>
      <w:r w:rsidR="00BF2CED">
        <w:rPr>
          <w:rFonts w:ascii="Bell MT" w:hAnsi="Bell MT"/>
          <w:sz w:val="24"/>
          <w:szCs w:val="24"/>
        </w:rPr>
        <w:t>boa-fé administrativa, erigidos na</w:t>
      </w:r>
      <w:r w:rsidRPr="00EB4F10">
        <w:rPr>
          <w:rFonts w:ascii="Bell MT" w:hAnsi="Bell MT"/>
          <w:sz w:val="24"/>
          <w:szCs w:val="24"/>
        </w:rPr>
        <w:t xml:space="preserve"> Constituição</w:t>
      </w:r>
      <w:r w:rsidR="00BF2CED">
        <w:rPr>
          <w:rFonts w:ascii="Bell MT" w:hAnsi="Bell MT"/>
          <w:sz w:val="24"/>
          <w:szCs w:val="24"/>
        </w:rPr>
        <w:t xml:space="preserve"> pátria</w:t>
      </w:r>
      <w:r w:rsidRPr="00EB4F10">
        <w:rPr>
          <w:rFonts w:ascii="Bell MT" w:hAnsi="Bell MT"/>
          <w:sz w:val="24"/>
          <w:szCs w:val="24"/>
        </w:rPr>
        <w:t xml:space="preserve"> com </w:t>
      </w:r>
      <w:r w:rsidRPr="00BF2CED">
        <w:rPr>
          <w:rFonts w:ascii="Bell MT" w:hAnsi="Bell MT"/>
          <w:i/>
          <w:sz w:val="24"/>
          <w:szCs w:val="24"/>
        </w:rPr>
        <w:t xml:space="preserve">status </w:t>
      </w:r>
      <w:r w:rsidRPr="00EB4F10">
        <w:rPr>
          <w:rFonts w:ascii="Bell MT" w:hAnsi="Bell MT"/>
          <w:sz w:val="24"/>
          <w:szCs w:val="24"/>
        </w:rPr>
        <w:t>de direito fundamental no Estado Dem</w:t>
      </w:r>
      <w:r>
        <w:rPr>
          <w:rFonts w:ascii="Bell MT" w:hAnsi="Bell MT"/>
          <w:sz w:val="24"/>
          <w:szCs w:val="24"/>
        </w:rPr>
        <w:t>ocrático de Direito (art. 37, CRFB/</w:t>
      </w:r>
      <w:r w:rsidRPr="00EB4F10">
        <w:rPr>
          <w:rFonts w:ascii="Bell MT" w:hAnsi="Bell MT"/>
          <w:sz w:val="24"/>
          <w:szCs w:val="24"/>
        </w:rPr>
        <w:t>88), aliados ao Princípio da Legalidade, que exige a absoluta submissão d</w:t>
      </w:r>
      <w:r w:rsidR="00BF2CED">
        <w:rPr>
          <w:rFonts w:ascii="Bell MT" w:hAnsi="Bell MT"/>
          <w:sz w:val="24"/>
          <w:szCs w:val="24"/>
        </w:rPr>
        <w:t>a Administração Pública às leis</w:t>
      </w:r>
      <w:r>
        <w:rPr>
          <w:rFonts w:ascii="Bell MT" w:hAnsi="Bell MT"/>
          <w:sz w:val="24"/>
          <w:szCs w:val="24"/>
        </w:rPr>
        <w:t>;</w:t>
      </w:r>
    </w:p>
    <w:p w:rsidR="00770916" w:rsidRPr="00770916" w:rsidRDefault="00D36162" w:rsidP="00CD418D">
      <w:pPr>
        <w:pStyle w:val="NormalWeb"/>
        <w:tabs>
          <w:tab w:val="left" w:pos="0"/>
        </w:tabs>
        <w:spacing w:before="0" w:after="0" w:line="360" w:lineRule="auto"/>
        <w:ind w:firstLine="1418"/>
        <w:jc w:val="both"/>
        <w:rPr>
          <w:rFonts w:ascii="Bell MT" w:hAnsi="Bell MT"/>
          <w:sz w:val="24"/>
          <w:szCs w:val="24"/>
        </w:rPr>
      </w:pPr>
      <w:r w:rsidRPr="00D36162">
        <w:rPr>
          <w:rFonts w:ascii="Bell MT" w:eastAsia="TimesNewRoman" w:hAnsi="Bell MT" w:cs="TimesNewRoman"/>
          <w:sz w:val="24"/>
          <w:szCs w:val="24"/>
        </w:rPr>
        <w:t xml:space="preserve"> </w:t>
      </w:r>
      <w:r w:rsidR="00CD418D" w:rsidRPr="00EB4F10">
        <w:rPr>
          <w:rFonts w:ascii="Bell MT" w:hAnsi="Bell MT"/>
          <w:b/>
          <w:sz w:val="24"/>
          <w:szCs w:val="24"/>
        </w:rPr>
        <w:t>O</w:t>
      </w:r>
      <w:r w:rsidR="00CD418D" w:rsidRPr="00EB4F10">
        <w:rPr>
          <w:rFonts w:ascii="Bell MT" w:hAnsi="Bell MT"/>
          <w:sz w:val="24"/>
          <w:szCs w:val="24"/>
        </w:rPr>
        <w:t xml:space="preserve"> dever da Administração Pública de instauração de procedimento administrativo sob o crivo do contraditório, </w:t>
      </w:r>
      <w:r w:rsidR="00CD418D" w:rsidRPr="003579FB">
        <w:rPr>
          <w:rFonts w:ascii="Bell MT" w:hAnsi="Bell MT"/>
          <w:b/>
          <w:sz w:val="24"/>
          <w:szCs w:val="24"/>
        </w:rPr>
        <w:t>quando a providência administrativa repercutir em direitos fundamentais do administrado</w:t>
      </w:r>
      <w:r w:rsidR="00CD418D" w:rsidRPr="00EB4F10">
        <w:rPr>
          <w:rFonts w:ascii="Bell MT" w:hAnsi="Bell MT"/>
          <w:sz w:val="24"/>
          <w:szCs w:val="24"/>
        </w:rPr>
        <w:t xml:space="preserve">, </w:t>
      </w:r>
      <w:r w:rsidR="00BC3370">
        <w:rPr>
          <w:rFonts w:ascii="Bell MT" w:hAnsi="Bell MT"/>
          <w:sz w:val="24"/>
          <w:szCs w:val="24"/>
        </w:rPr>
        <w:t>consoante entende o Supremo Tribunal Federal-</w:t>
      </w:r>
      <w:r w:rsidR="00CD418D" w:rsidRPr="00EB4F10">
        <w:rPr>
          <w:rFonts w:ascii="Bell MT" w:hAnsi="Bell MT"/>
          <w:sz w:val="24"/>
          <w:szCs w:val="24"/>
        </w:rPr>
        <w:t>STF</w:t>
      </w:r>
      <w:r w:rsidR="00770916">
        <w:rPr>
          <w:rFonts w:ascii="Bell MT" w:hAnsi="Bell MT"/>
          <w:sz w:val="24"/>
          <w:szCs w:val="24"/>
        </w:rPr>
        <w:t xml:space="preserve"> </w:t>
      </w:r>
      <w:r w:rsidR="00770916" w:rsidRPr="00770916">
        <w:rPr>
          <w:rFonts w:ascii="Bell MT" w:hAnsi="Bell MT"/>
          <w:sz w:val="24"/>
          <w:szCs w:val="24"/>
        </w:rPr>
        <w:t>(v.g., Mandado de Segurança n. 25.962, Rel. Min. Marco Aurélio, Tribunal Pleno, DJe 19.3.2009</w:t>
      </w:r>
      <w:r w:rsidR="00BF2CED">
        <w:rPr>
          <w:rFonts w:ascii="Bell MT" w:hAnsi="Bell MT"/>
          <w:sz w:val="24"/>
          <w:szCs w:val="24"/>
        </w:rPr>
        <w:t>)</w:t>
      </w:r>
      <w:r w:rsidR="00770916" w:rsidRPr="00770916">
        <w:rPr>
          <w:rFonts w:ascii="Bell MT" w:hAnsi="Bell MT"/>
          <w:sz w:val="24"/>
          <w:szCs w:val="24"/>
        </w:rPr>
        <w:t>;</w:t>
      </w:r>
    </w:p>
    <w:p w:rsidR="00CD418D" w:rsidRDefault="00CD418D" w:rsidP="00CD418D">
      <w:pPr>
        <w:pStyle w:val="NormalWeb"/>
        <w:tabs>
          <w:tab w:val="left" w:pos="0"/>
        </w:tabs>
        <w:spacing w:before="0" w:after="0" w:line="360" w:lineRule="auto"/>
        <w:ind w:firstLine="1418"/>
        <w:jc w:val="both"/>
        <w:rPr>
          <w:rFonts w:ascii="Bell MT" w:hAnsi="Bell MT"/>
          <w:sz w:val="24"/>
          <w:szCs w:val="24"/>
        </w:rPr>
      </w:pPr>
      <w:r w:rsidRPr="00EB4F10">
        <w:rPr>
          <w:rFonts w:ascii="Bell MT" w:hAnsi="Bell MT"/>
          <w:b/>
          <w:sz w:val="24"/>
          <w:szCs w:val="24"/>
        </w:rPr>
        <w:t>O</w:t>
      </w:r>
      <w:r w:rsidRPr="00EB4F10">
        <w:rPr>
          <w:rFonts w:ascii="Bell MT" w:hAnsi="Bell MT"/>
          <w:sz w:val="24"/>
          <w:szCs w:val="24"/>
        </w:rPr>
        <w:t xml:space="preserve"> Princípio da Inafastabilidade da Jurisdição, estampado no artigo 5º, inciso XXXV, da Constituição </w:t>
      </w:r>
      <w:r w:rsidR="00BF2CED">
        <w:rPr>
          <w:rFonts w:ascii="Bell MT" w:hAnsi="Bell MT"/>
          <w:sz w:val="24"/>
          <w:szCs w:val="24"/>
        </w:rPr>
        <w:t>da República Federativa do Brasil</w:t>
      </w:r>
      <w:r w:rsidRPr="00EB4F10">
        <w:rPr>
          <w:rFonts w:ascii="Bell MT" w:hAnsi="Bell MT"/>
          <w:sz w:val="24"/>
          <w:szCs w:val="24"/>
        </w:rPr>
        <w:t xml:space="preserve">, que </w:t>
      </w:r>
      <w:r w:rsidR="00BF2CED">
        <w:rPr>
          <w:rFonts w:ascii="Bell MT" w:hAnsi="Bell MT"/>
          <w:sz w:val="24"/>
          <w:szCs w:val="24"/>
        </w:rPr>
        <w:t>institui</w:t>
      </w:r>
      <w:r w:rsidRPr="00EB4F10">
        <w:rPr>
          <w:rFonts w:ascii="Bell MT" w:hAnsi="Bell MT"/>
          <w:sz w:val="24"/>
          <w:szCs w:val="24"/>
        </w:rPr>
        <w:t xml:space="preserve"> o Poder Judiciário </w:t>
      </w:r>
      <w:r w:rsidR="00BF2CED">
        <w:rPr>
          <w:rFonts w:ascii="Bell MT" w:hAnsi="Bell MT"/>
          <w:sz w:val="24"/>
          <w:szCs w:val="24"/>
        </w:rPr>
        <w:t xml:space="preserve">como </w:t>
      </w:r>
      <w:r w:rsidRPr="00EB4F10">
        <w:rPr>
          <w:rFonts w:ascii="Bell MT" w:hAnsi="Bell MT"/>
          <w:sz w:val="24"/>
          <w:szCs w:val="24"/>
        </w:rPr>
        <w:t>o único instrumento legítimo de intervenção na esfera individual e coletiva para fazer valer o</w:t>
      </w:r>
      <w:r w:rsidR="00014DBE">
        <w:rPr>
          <w:rFonts w:ascii="Bell MT" w:hAnsi="Bell MT"/>
          <w:sz w:val="24"/>
          <w:szCs w:val="24"/>
        </w:rPr>
        <w:t>s direitos, afastando-se a auto</w:t>
      </w:r>
      <w:r w:rsidRPr="00EB4F10">
        <w:rPr>
          <w:rFonts w:ascii="Bell MT" w:hAnsi="Bell MT"/>
          <w:sz w:val="24"/>
          <w:szCs w:val="24"/>
        </w:rPr>
        <w:t>tutela, salvo em casos excepcionais;</w:t>
      </w:r>
    </w:p>
    <w:p w:rsidR="00DB5336" w:rsidRPr="00EB4F10" w:rsidRDefault="00DB5336" w:rsidP="00CD418D">
      <w:pPr>
        <w:pStyle w:val="NormalWeb"/>
        <w:tabs>
          <w:tab w:val="left" w:pos="0"/>
        </w:tabs>
        <w:spacing w:before="0" w:after="0" w:line="360" w:lineRule="auto"/>
        <w:ind w:firstLine="1418"/>
        <w:jc w:val="both"/>
        <w:rPr>
          <w:rFonts w:ascii="Bell MT" w:hAnsi="Bell MT"/>
          <w:sz w:val="24"/>
          <w:szCs w:val="24"/>
        </w:rPr>
      </w:pPr>
      <w:r>
        <w:rPr>
          <w:rFonts w:ascii="Bell MT" w:eastAsia="TimesNewRoman" w:hAnsi="Bell MT" w:cs="TimesNewRoman"/>
          <w:b/>
          <w:sz w:val="24"/>
          <w:szCs w:val="24"/>
        </w:rPr>
        <w:t xml:space="preserve">Que, no </w:t>
      </w:r>
      <w:r>
        <w:rPr>
          <w:rFonts w:ascii="Bell MT" w:eastAsia="TimesNewRoman" w:hAnsi="Bell MT" w:cs="TimesNewRoman"/>
          <w:sz w:val="24"/>
          <w:szCs w:val="24"/>
        </w:rPr>
        <w:t>dia 27</w:t>
      </w:r>
      <w:r w:rsidRPr="00D36162">
        <w:rPr>
          <w:rFonts w:ascii="Bell MT" w:eastAsia="TimesNewRoman" w:hAnsi="Bell MT" w:cs="TimesNewRoman"/>
          <w:sz w:val="24"/>
          <w:szCs w:val="24"/>
        </w:rPr>
        <w:t xml:space="preserve"> de maio de 2015, conforme veiculado pela imprensa local</w:t>
      </w:r>
      <w:r>
        <w:rPr>
          <w:rStyle w:val="Refdenotaderodap"/>
          <w:rFonts w:ascii="Bell MT" w:eastAsia="TimesNewRoman" w:hAnsi="Bell MT" w:cs="TimesNewRoman"/>
          <w:sz w:val="24"/>
          <w:szCs w:val="24"/>
        </w:rPr>
        <w:footnoteReference w:id="2"/>
      </w:r>
      <w:r w:rsidRPr="00D36162">
        <w:rPr>
          <w:rFonts w:ascii="Bell MT" w:eastAsia="TimesNewRoman" w:hAnsi="Bell MT" w:cs="TimesNewRoman"/>
          <w:sz w:val="24"/>
          <w:szCs w:val="24"/>
        </w:rPr>
        <w:t>, o M</w:t>
      </w:r>
      <w:r>
        <w:rPr>
          <w:rFonts w:ascii="Bell MT" w:eastAsia="TimesNewRoman" w:hAnsi="Bell MT" w:cs="TimesNewRoman"/>
          <w:sz w:val="24"/>
          <w:szCs w:val="24"/>
        </w:rPr>
        <w:t>unicípio de Palmas-TO procedeu à</w:t>
      </w:r>
      <w:r w:rsidRPr="00D36162">
        <w:rPr>
          <w:rFonts w:ascii="Bell MT" w:eastAsia="TimesNewRoman" w:hAnsi="Bell MT" w:cs="TimesNewRoman"/>
          <w:sz w:val="24"/>
          <w:szCs w:val="24"/>
        </w:rPr>
        <w:t xml:space="preserve"> demolição de imóveis alocados no Setor União Sul, sem </w:t>
      </w:r>
      <w:r>
        <w:rPr>
          <w:rFonts w:ascii="Bell MT" w:eastAsia="TimesNewRoman" w:hAnsi="Bell MT" w:cs="TimesNewRoman"/>
          <w:sz w:val="24"/>
          <w:szCs w:val="24"/>
        </w:rPr>
        <w:t xml:space="preserve">promover </w:t>
      </w:r>
      <w:r w:rsidRPr="00D36162">
        <w:rPr>
          <w:rFonts w:ascii="Bell MT" w:eastAsia="TimesNewRoman" w:hAnsi="Bell MT" w:cs="TimesNewRoman"/>
          <w:sz w:val="24"/>
          <w:szCs w:val="24"/>
        </w:rPr>
        <w:t>qualquer notificaçã</w:t>
      </w:r>
      <w:r>
        <w:rPr>
          <w:rFonts w:ascii="Bell MT" w:eastAsia="TimesNewRoman" w:hAnsi="Bell MT" w:cs="TimesNewRoman"/>
          <w:sz w:val="24"/>
          <w:szCs w:val="24"/>
        </w:rPr>
        <w:t>o administrativa e/ou judicial dos</w:t>
      </w:r>
      <w:r w:rsidRPr="00D36162">
        <w:rPr>
          <w:rFonts w:ascii="Bell MT" w:eastAsia="TimesNewRoman" w:hAnsi="Bell MT" w:cs="TimesNewRoman"/>
          <w:sz w:val="24"/>
          <w:szCs w:val="24"/>
        </w:rPr>
        <w:t xml:space="preserve"> ocupantes da referida área, em flagrante violação ao princípio do devido processo legal</w:t>
      </w:r>
      <w:r>
        <w:rPr>
          <w:rFonts w:ascii="Bell MT" w:eastAsia="TimesNewRoman" w:hAnsi="Bell MT" w:cs="TimesNewRoman"/>
          <w:sz w:val="24"/>
          <w:szCs w:val="24"/>
        </w:rPr>
        <w:t xml:space="preserve">, previsto no art. 5º, inciso LIV, </w:t>
      </w:r>
      <w:r w:rsidRPr="00437E43">
        <w:rPr>
          <w:rFonts w:ascii="Bell MT" w:hAnsi="Bell MT"/>
          <w:sz w:val="24"/>
          <w:szCs w:val="24"/>
        </w:rPr>
        <w:t>Constituição</w:t>
      </w:r>
      <w:r>
        <w:rPr>
          <w:rFonts w:ascii="Bell MT" w:hAnsi="Bell MT"/>
          <w:sz w:val="24"/>
          <w:szCs w:val="24"/>
        </w:rPr>
        <w:t xml:space="preserve"> da República Federativa do Brasil</w:t>
      </w:r>
      <w:r w:rsidR="00BF2CED">
        <w:rPr>
          <w:rFonts w:ascii="Bell MT" w:hAnsi="Bell MT"/>
          <w:sz w:val="24"/>
          <w:szCs w:val="24"/>
        </w:rPr>
        <w:t>;</w:t>
      </w:r>
    </w:p>
    <w:p w:rsidR="00E612FE" w:rsidRPr="00FA2692" w:rsidRDefault="00E612FE" w:rsidP="00477F20">
      <w:pPr>
        <w:shd w:val="clear" w:color="auto" w:fill="FFFFFF"/>
        <w:ind w:left="2835"/>
        <w:jc w:val="both"/>
        <w:rPr>
          <w:rFonts w:ascii="Bell MT" w:hAnsi="Bell MT" w:cs="Arial"/>
          <w:color w:val="000000"/>
          <w:sz w:val="18"/>
          <w:szCs w:val="18"/>
        </w:rPr>
      </w:pPr>
    </w:p>
    <w:p w:rsidR="00014DBE" w:rsidRDefault="00BF2CED" w:rsidP="00D777F5">
      <w:pPr>
        <w:spacing w:line="360" w:lineRule="auto"/>
        <w:ind w:firstLine="1418"/>
        <w:jc w:val="both"/>
        <w:rPr>
          <w:rFonts w:ascii="Bell MT" w:hAnsi="Bell MT" w:cs="Arial"/>
          <w:bCs/>
          <w:iCs/>
          <w:color w:val="000000"/>
          <w:sz w:val="24"/>
          <w:szCs w:val="24"/>
        </w:rPr>
      </w:pPr>
      <w:r>
        <w:rPr>
          <w:rFonts w:ascii="Bell MT" w:hAnsi="Bell MT" w:cs="Arial"/>
          <w:b/>
          <w:iCs/>
          <w:color w:val="000000"/>
          <w:sz w:val="24"/>
          <w:szCs w:val="24"/>
        </w:rPr>
        <w:t xml:space="preserve">A </w:t>
      </w:r>
      <w:r w:rsidR="007A647D" w:rsidRPr="00675051">
        <w:rPr>
          <w:rFonts w:ascii="Bell MT" w:hAnsi="Bell MT" w:cs="Arial"/>
          <w:iCs/>
          <w:color w:val="000000"/>
          <w:sz w:val="24"/>
          <w:szCs w:val="24"/>
        </w:rPr>
        <w:t xml:space="preserve">Defensoria Pública do Tocantins, por intermédio de seu Núcleo de Ações Coletivas, no exercício das atribuições e prerrogativas outorgadas pelo art. 134 da Constituição Federal, e demais disposições constantes da Lei Complementar Federal nº 80/94 e Lei Complementar Estadual nº 55/09, </w:t>
      </w:r>
      <w:r w:rsidR="002D7FBC" w:rsidRPr="0071311E">
        <w:rPr>
          <w:rFonts w:ascii="Bell MT" w:hAnsi="Bell MT" w:cs="Arial"/>
          <w:b/>
          <w:bCs/>
          <w:iCs/>
          <w:color w:val="000000"/>
          <w:sz w:val="24"/>
          <w:szCs w:val="24"/>
        </w:rPr>
        <w:t>RECOMENDA</w:t>
      </w:r>
      <w:r w:rsidR="00424FA2" w:rsidRPr="0071311E">
        <w:rPr>
          <w:rFonts w:ascii="Bell MT" w:hAnsi="Bell MT" w:cs="Arial"/>
          <w:b/>
          <w:bCs/>
          <w:iCs/>
          <w:color w:val="000000"/>
          <w:sz w:val="24"/>
          <w:szCs w:val="24"/>
        </w:rPr>
        <w:t xml:space="preserve"> </w:t>
      </w:r>
      <w:r w:rsidR="00424FA2" w:rsidRPr="0071311E">
        <w:rPr>
          <w:rFonts w:ascii="Bell MT" w:hAnsi="Bell MT" w:cs="Arial"/>
          <w:bCs/>
          <w:iCs/>
          <w:color w:val="000000"/>
          <w:sz w:val="24"/>
          <w:szCs w:val="24"/>
        </w:rPr>
        <w:t xml:space="preserve">ao </w:t>
      </w:r>
      <w:r w:rsidR="00014DBE">
        <w:rPr>
          <w:rFonts w:ascii="Bell MT" w:hAnsi="Bell MT" w:cs="Arial"/>
          <w:bCs/>
          <w:iCs/>
          <w:color w:val="000000"/>
          <w:sz w:val="24"/>
          <w:szCs w:val="24"/>
        </w:rPr>
        <w:t>Chefe do Poder Executi</w:t>
      </w:r>
      <w:r w:rsidR="00220EF2">
        <w:rPr>
          <w:rFonts w:ascii="Bell MT" w:hAnsi="Bell MT" w:cs="Arial"/>
          <w:bCs/>
          <w:iCs/>
          <w:color w:val="000000"/>
          <w:sz w:val="24"/>
          <w:szCs w:val="24"/>
        </w:rPr>
        <w:t xml:space="preserve">vo do </w:t>
      </w:r>
      <w:r w:rsidR="00220EF2" w:rsidRPr="000F082C">
        <w:rPr>
          <w:rFonts w:ascii="Bell MT" w:hAnsi="Bell MT" w:cs="Arial"/>
          <w:b/>
          <w:bCs/>
          <w:iCs/>
          <w:color w:val="000000"/>
          <w:sz w:val="24"/>
          <w:szCs w:val="24"/>
        </w:rPr>
        <w:t>Município de Palmas-TO</w:t>
      </w:r>
      <w:r w:rsidR="00220EF2">
        <w:rPr>
          <w:rFonts w:ascii="Bell MT" w:hAnsi="Bell MT" w:cs="Arial"/>
          <w:bCs/>
          <w:iCs/>
          <w:color w:val="000000"/>
          <w:sz w:val="24"/>
          <w:szCs w:val="24"/>
        </w:rPr>
        <w:t>, que</w:t>
      </w:r>
      <w:r w:rsidR="00014DBE">
        <w:rPr>
          <w:rFonts w:ascii="Bell MT" w:hAnsi="Bell MT" w:cs="Arial"/>
          <w:bCs/>
          <w:iCs/>
          <w:color w:val="000000"/>
          <w:sz w:val="24"/>
          <w:szCs w:val="24"/>
        </w:rPr>
        <w:t>:</w:t>
      </w:r>
    </w:p>
    <w:p w:rsidR="00F434DF" w:rsidRDefault="00F434DF" w:rsidP="00D777F5">
      <w:pPr>
        <w:spacing w:line="360" w:lineRule="auto"/>
        <w:ind w:firstLine="1418"/>
        <w:jc w:val="both"/>
        <w:rPr>
          <w:rFonts w:ascii="Bell MT" w:hAnsi="Bell MT" w:cs="Arial"/>
          <w:bCs/>
          <w:iCs/>
          <w:color w:val="000000"/>
          <w:sz w:val="24"/>
          <w:szCs w:val="24"/>
        </w:rPr>
      </w:pPr>
    </w:p>
    <w:p w:rsidR="00014DBE" w:rsidRPr="000F082C" w:rsidRDefault="00014DBE" w:rsidP="00220EF2">
      <w:pPr>
        <w:spacing w:line="360" w:lineRule="auto"/>
        <w:jc w:val="both"/>
        <w:rPr>
          <w:rFonts w:ascii="Bell MT" w:hAnsi="Bell MT"/>
          <w:b/>
          <w:sz w:val="24"/>
          <w:szCs w:val="24"/>
        </w:rPr>
      </w:pPr>
      <w:r w:rsidRPr="000F082C">
        <w:rPr>
          <w:rFonts w:ascii="Bell MT" w:hAnsi="Bell MT"/>
          <w:b/>
          <w:sz w:val="24"/>
          <w:szCs w:val="24"/>
        </w:rPr>
        <w:t xml:space="preserve">1 - Instauração de Processo administrativo </w:t>
      </w:r>
    </w:p>
    <w:p w:rsidR="00220EF2" w:rsidRPr="00B11076" w:rsidRDefault="00220EF2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</w:p>
    <w:p w:rsidR="00014DBE" w:rsidRDefault="00220EF2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S</w:t>
      </w:r>
      <w:r w:rsidR="00014DBE" w:rsidRPr="00B11076">
        <w:rPr>
          <w:rFonts w:ascii="Bell MT" w:hAnsi="Bell MT"/>
          <w:sz w:val="24"/>
          <w:szCs w:val="24"/>
        </w:rPr>
        <w:t>eja instaurado processo administrativo prévio à intervenção administrativa em assentamentos irregulares, com a formalização de todos os atos e conclusões extraídas do estudo da área alvo, garantindo a publicidade e a consulta por qualquer cidadão, na forma da Lei 9784/99, que dispõe sobre o procedimento administrativo no âmbito da Administração Pública Federal, quando inexistir legislação municipal específica;</w:t>
      </w:r>
    </w:p>
    <w:p w:rsidR="00220EF2" w:rsidRPr="00B11076" w:rsidRDefault="00220EF2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</w:p>
    <w:p w:rsidR="00014DBE" w:rsidRPr="000F082C" w:rsidRDefault="00014DBE" w:rsidP="00220EF2">
      <w:pPr>
        <w:spacing w:line="360" w:lineRule="auto"/>
        <w:jc w:val="both"/>
        <w:rPr>
          <w:rFonts w:ascii="Bell MT" w:hAnsi="Bell MT"/>
          <w:b/>
          <w:sz w:val="24"/>
          <w:szCs w:val="24"/>
        </w:rPr>
      </w:pPr>
      <w:r w:rsidRPr="000F082C">
        <w:rPr>
          <w:rFonts w:ascii="Bell MT" w:hAnsi="Bell MT"/>
          <w:b/>
          <w:sz w:val="24"/>
          <w:szCs w:val="24"/>
        </w:rPr>
        <w:t>2 -  Das Áreas de Risco</w:t>
      </w:r>
    </w:p>
    <w:p w:rsidR="00220EF2" w:rsidRPr="00B11076" w:rsidRDefault="00220EF2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</w:p>
    <w:p w:rsidR="00014DBE" w:rsidRDefault="00014DBE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  <w:r w:rsidRPr="00B11076">
        <w:rPr>
          <w:rFonts w:ascii="Bell MT" w:hAnsi="Bell MT"/>
          <w:sz w:val="24"/>
          <w:szCs w:val="24"/>
        </w:rPr>
        <w:t xml:space="preserve"> Quando se tratar de área de risco, que o processo administrativo seja instruído com relatório técnico detalhado e subscrito por </w:t>
      </w:r>
      <w:r w:rsidR="00220EF2">
        <w:rPr>
          <w:rFonts w:ascii="Bell MT" w:hAnsi="Bell MT"/>
          <w:sz w:val="24"/>
          <w:szCs w:val="24"/>
        </w:rPr>
        <w:t>perito na área</w:t>
      </w:r>
      <w:r w:rsidRPr="00B11076">
        <w:rPr>
          <w:rFonts w:ascii="Bell MT" w:hAnsi="Bell MT"/>
          <w:sz w:val="24"/>
          <w:szCs w:val="24"/>
        </w:rPr>
        <w:t xml:space="preserve">, declinando as razões pelas quais a área é considerada de risco, o grau do risco, a urgência/emergência da intervenção e a anotação sobre eventuais medidas que possam mitigar ou afastar o risco. </w:t>
      </w:r>
    </w:p>
    <w:p w:rsidR="00220EF2" w:rsidRPr="00B11076" w:rsidRDefault="00220EF2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</w:p>
    <w:p w:rsidR="00014DBE" w:rsidRPr="000F082C" w:rsidRDefault="00014DBE" w:rsidP="00220EF2">
      <w:pPr>
        <w:spacing w:line="360" w:lineRule="auto"/>
        <w:jc w:val="both"/>
        <w:rPr>
          <w:rFonts w:ascii="Bell MT" w:hAnsi="Bell MT"/>
          <w:b/>
          <w:sz w:val="24"/>
          <w:szCs w:val="24"/>
        </w:rPr>
      </w:pPr>
      <w:r w:rsidRPr="000F082C">
        <w:rPr>
          <w:rFonts w:ascii="Bell MT" w:hAnsi="Bell MT"/>
          <w:b/>
          <w:sz w:val="24"/>
          <w:szCs w:val="24"/>
        </w:rPr>
        <w:t xml:space="preserve">3 - Da excepcionalidade das Remoções Administrativas </w:t>
      </w:r>
    </w:p>
    <w:p w:rsidR="00220EF2" w:rsidRPr="00B11076" w:rsidRDefault="00220EF2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</w:p>
    <w:p w:rsidR="00014DBE" w:rsidRDefault="00014DBE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  <w:r w:rsidRPr="00B11076">
        <w:rPr>
          <w:rFonts w:ascii="Bell MT" w:hAnsi="Bell MT"/>
          <w:sz w:val="24"/>
          <w:szCs w:val="24"/>
        </w:rPr>
        <w:t>Que a Administração Pública Municipal não realize a remoção forçada de comunidades ou mesmo de unidade familiar, quando não se tratar de situação de urgência/emergência devidamente embasada em relatórios técnicos, conforme acima descrito. Caso não esteja caracterizada a urgência/emergência, que a Administração Pública não promova a remoção forçada de ocupações que não sejam recentes, ou seja, quando o lapso temporal da ocupação transcender ao conceito de “desforço imediato” ou “legítima defesa</w:t>
      </w:r>
      <w:r w:rsidR="00220EF2">
        <w:rPr>
          <w:rFonts w:ascii="Bell MT" w:hAnsi="Bell MT"/>
          <w:sz w:val="24"/>
          <w:szCs w:val="24"/>
        </w:rPr>
        <w:t xml:space="preserve"> da posse”, nos termos do art.</w:t>
      </w:r>
      <w:r w:rsidR="00A65070">
        <w:rPr>
          <w:rFonts w:ascii="Bell MT" w:hAnsi="Bell MT"/>
          <w:sz w:val="24"/>
          <w:szCs w:val="24"/>
        </w:rPr>
        <w:t xml:space="preserve"> 1210, parágrafo</w:t>
      </w:r>
      <w:r w:rsidRPr="00B11076">
        <w:rPr>
          <w:rFonts w:ascii="Bell MT" w:hAnsi="Bell MT"/>
          <w:sz w:val="24"/>
          <w:szCs w:val="24"/>
        </w:rPr>
        <w:t xml:space="preserve"> 1º</w:t>
      </w:r>
      <w:r w:rsidR="00220EF2">
        <w:rPr>
          <w:rFonts w:ascii="Bell MT" w:hAnsi="Bell MT"/>
          <w:sz w:val="24"/>
          <w:szCs w:val="24"/>
        </w:rPr>
        <w:t>, do Código Civil. Ness</w:t>
      </w:r>
      <w:r w:rsidRPr="00B11076">
        <w:rPr>
          <w:rFonts w:ascii="Bell MT" w:hAnsi="Bell MT"/>
          <w:sz w:val="24"/>
          <w:szCs w:val="24"/>
        </w:rPr>
        <w:t>es casos, a Administração Pública Municipal deve se valer dos instrumentos próprios perante o Poder Judiciário, resguardando-se, assim, as garantias fundamentais inerentes ao devido processo legal.</w:t>
      </w:r>
    </w:p>
    <w:p w:rsidR="00EE4AB1" w:rsidRDefault="00EE4AB1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</w:p>
    <w:p w:rsidR="00BF2CED" w:rsidRDefault="00BF2CED" w:rsidP="00220EF2">
      <w:pPr>
        <w:spacing w:line="360" w:lineRule="auto"/>
        <w:jc w:val="both"/>
        <w:rPr>
          <w:rFonts w:ascii="Bell MT" w:hAnsi="Bell MT"/>
          <w:b/>
          <w:sz w:val="24"/>
          <w:szCs w:val="24"/>
        </w:rPr>
      </w:pPr>
    </w:p>
    <w:p w:rsidR="00A65070" w:rsidRDefault="00A65070" w:rsidP="00220EF2">
      <w:pPr>
        <w:spacing w:line="360" w:lineRule="auto"/>
        <w:jc w:val="both"/>
        <w:rPr>
          <w:rFonts w:ascii="Bell MT" w:hAnsi="Bell MT"/>
          <w:b/>
          <w:sz w:val="24"/>
          <w:szCs w:val="24"/>
        </w:rPr>
      </w:pPr>
    </w:p>
    <w:p w:rsidR="00014DBE" w:rsidRPr="000F082C" w:rsidRDefault="00014DBE" w:rsidP="00220EF2">
      <w:pPr>
        <w:spacing w:line="360" w:lineRule="auto"/>
        <w:jc w:val="both"/>
        <w:rPr>
          <w:rFonts w:ascii="Bell MT" w:hAnsi="Bell MT"/>
          <w:b/>
          <w:sz w:val="24"/>
          <w:szCs w:val="24"/>
        </w:rPr>
      </w:pPr>
      <w:r w:rsidRPr="000F082C">
        <w:rPr>
          <w:rFonts w:ascii="Bell MT" w:hAnsi="Bell MT"/>
          <w:b/>
          <w:sz w:val="24"/>
          <w:szCs w:val="24"/>
        </w:rPr>
        <w:t xml:space="preserve">4 - Notificação Prévia aos Ocupantes </w:t>
      </w:r>
    </w:p>
    <w:p w:rsidR="00220EF2" w:rsidRPr="00B11076" w:rsidRDefault="00220EF2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</w:p>
    <w:p w:rsidR="00014DBE" w:rsidRDefault="00014DBE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  <w:r w:rsidRPr="00B11076">
        <w:rPr>
          <w:rFonts w:ascii="Bell MT" w:hAnsi="Bell MT"/>
          <w:sz w:val="24"/>
          <w:szCs w:val="24"/>
        </w:rPr>
        <w:t xml:space="preserve">Que, </w:t>
      </w:r>
      <w:r w:rsidR="00220EF2">
        <w:rPr>
          <w:rFonts w:ascii="Bell MT" w:hAnsi="Bell MT"/>
          <w:sz w:val="24"/>
          <w:szCs w:val="24"/>
        </w:rPr>
        <w:t xml:space="preserve">em </w:t>
      </w:r>
      <w:r w:rsidRPr="00B11076">
        <w:rPr>
          <w:rFonts w:ascii="Bell MT" w:hAnsi="Bell MT"/>
          <w:sz w:val="24"/>
          <w:szCs w:val="24"/>
        </w:rPr>
        <w:t xml:space="preserve">casos </w:t>
      </w:r>
      <w:r w:rsidR="00220EF2">
        <w:rPr>
          <w:rFonts w:ascii="Bell MT" w:hAnsi="Bell MT"/>
          <w:sz w:val="24"/>
          <w:szCs w:val="24"/>
        </w:rPr>
        <w:t xml:space="preserve">nos quais </w:t>
      </w:r>
      <w:r w:rsidRPr="00B11076">
        <w:rPr>
          <w:rFonts w:ascii="Bell MT" w:hAnsi="Bell MT"/>
          <w:sz w:val="24"/>
          <w:szCs w:val="24"/>
        </w:rPr>
        <w:t>estiver autorizado legalmente o exercício da autoexecutoriedade da Administração Pública, ou seja, que se insiram no conceito de “desforço imediato</w:t>
      </w:r>
      <w:r w:rsidR="00A65070">
        <w:rPr>
          <w:rFonts w:ascii="Bell MT" w:hAnsi="Bell MT"/>
          <w:sz w:val="24"/>
          <w:szCs w:val="24"/>
        </w:rPr>
        <w:t>”,</w:t>
      </w:r>
      <w:r w:rsidRPr="00B11076">
        <w:rPr>
          <w:rFonts w:ascii="Bell MT" w:hAnsi="Bell MT"/>
          <w:sz w:val="24"/>
          <w:szCs w:val="24"/>
        </w:rPr>
        <w:t xml:space="preserve"> a população alvo das remoções forçadas sejam notif</w:t>
      </w:r>
      <w:r w:rsidR="00FA092E">
        <w:rPr>
          <w:rFonts w:ascii="Bell MT" w:hAnsi="Bell MT"/>
          <w:sz w:val="24"/>
          <w:szCs w:val="24"/>
        </w:rPr>
        <w:t>icadas previamente a desocupar</w:t>
      </w:r>
      <w:r w:rsidRPr="00B11076">
        <w:rPr>
          <w:rFonts w:ascii="Bell MT" w:hAnsi="Bell MT"/>
          <w:sz w:val="24"/>
          <w:szCs w:val="24"/>
        </w:rPr>
        <w:t xml:space="preserve"> o local, com prazo suficiente para a saída voluntária, informando-as</w:t>
      </w:r>
      <w:r w:rsidR="00FA092E">
        <w:rPr>
          <w:rFonts w:ascii="Bell MT" w:hAnsi="Bell MT"/>
          <w:sz w:val="24"/>
          <w:szCs w:val="24"/>
        </w:rPr>
        <w:t>,</w:t>
      </w:r>
      <w:r w:rsidRPr="00B11076">
        <w:rPr>
          <w:rFonts w:ascii="Bell MT" w:hAnsi="Bell MT"/>
          <w:sz w:val="24"/>
          <w:szCs w:val="24"/>
        </w:rPr>
        <w:t xml:space="preserve"> ainda</w:t>
      </w:r>
      <w:r w:rsidR="00FA092E">
        <w:rPr>
          <w:rFonts w:ascii="Bell MT" w:hAnsi="Bell MT"/>
          <w:sz w:val="24"/>
          <w:szCs w:val="24"/>
        </w:rPr>
        <w:t>,</w:t>
      </w:r>
      <w:r w:rsidRPr="00B11076">
        <w:rPr>
          <w:rFonts w:ascii="Bell MT" w:hAnsi="Bell MT"/>
          <w:sz w:val="24"/>
          <w:szCs w:val="24"/>
        </w:rPr>
        <w:t xml:space="preserve"> sobre a data exata em que ocorrerá a remoção forçada. Tal garantia encontra</w:t>
      </w:r>
      <w:r w:rsidR="00A65070">
        <w:rPr>
          <w:rFonts w:ascii="Bell MT" w:hAnsi="Bell MT"/>
          <w:sz w:val="24"/>
          <w:szCs w:val="24"/>
        </w:rPr>
        <w:t xml:space="preserve"> previsão</w:t>
      </w:r>
      <w:r w:rsidRPr="00B11076">
        <w:rPr>
          <w:rFonts w:ascii="Bell MT" w:hAnsi="Bell MT"/>
          <w:sz w:val="24"/>
          <w:szCs w:val="24"/>
        </w:rPr>
        <w:t xml:space="preserve"> no item </w:t>
      </w:r>
      <w:r w:rsidR="00FA092E">
        <w:rPr>
          <w:rFonts w:ascii="Bell MT" w:hAnsi="Bell MT"/>
          <w:sz w:val="24"/>
          <w:szCs w:val="24"/>
        </w:rPr>
        <w:t>15 do Comentário Geral da ONU nº</w:t>
      </w:r>
      <w:r w:rsidRPr="00B11076">
        <w:rPr>
          <w:rFonts w:ascii="Bell MT" w:hAnsi="Bell MT"/>
          <w:sz w:val="24"/>
          <w:szCs w:val="24"/>
        </w:rPr>
        <w:t xml:space="preserve"> 07, que versa sobre as remoções forçadas, dispositivo que veda expressamente o elemento surpresa </w:t>
      </w:r>
      <w:r w:rsidR="00FA092E">
        <w:rPr>
          <w:rFonts w:ascii="Bell MT" w:hAnsi="Bell MT"/>
          <w:sz w:val="24"/>
          <w:szCs w:val="24"/>
        </w:rPr>
        <w:t xml:space="preserve">nessas </w:t>
      </w:r>
      <w:r w:rsidRPr="00B11076">
        <w:rPr>
          <w:rFonts w:ascii="Bell MT" w:hAnsi="Bell MT"/>
          <w:sz w:val="24"/>
          <w:szCs w:val="24"/>
        </w:rPr>
        <w:t xml:space="preserve">intervenções. </w:t>
      </w:r>
    </w:p>
    <w:p w:rsidR="00220EF2" w:rsidRPr="00B11076" w:rsidRDefault="00220EF2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</w:p>
    <w:p w:rsidR="00014DBE" w:rsidRPr="000F082C" w:rsidRDefault="00014DBE" w:rsidP="00220EF2">
      <w:pPr>
        <w:spacing w:line="360" w:lineRule="auto"/>
        <w:jc w:val="both"/>
        <w:rPr>
          <w:rFonts w:ascii="Bell MT" w:hAnsi="Bell MT"/>
          <w:b/>
          <w:sz w:val="24"/>
          <w:szCs w:val="24"/>
        </w:rPr>
      </w:pPr>
      <w:r w:rsidRPr="000F082C">
        <w:rPr>
          <w:rFonts w:ascii="Bell MT" w:hAnsi="Bell MT"/>
          <w:b/>
          <w:sz w:val="24"/>
          <w:szCs w:val="24"/>
        </w:rPr>
        <w:t xml:space="preserve">5 - </w:t>
      </w:r>
      <w:r w:rsidRPr="000F082C">
        <w:rPr>
          <w:rFonts w:ascii="Bell MT" w:hAnsi="Bell MT"/>
          <w:b/>
          <w:i/>
          <w:sz w:val="24"/>
          <w:szCs w:val="24"/>
        </w:rPr>
        <w:t>Modus Operandi</w:t>
      </w:r>
      <w:r w:rsidRPr="000F082C">
        <w:rPr>
          <w:rFonts w:ascii="Bell MT" w:hAnsi="Bell MT"/>
          <w:b/>
          <w:sz w:val="24"/>
          <w:szCs w:val="24"/>
        </w:rPr>
        <w:t xml:space="preserve"> da Remoção Forçada </w:t>
      </w:r>
    </w:p>
    <w:p w:rsidR="00220EF2" w:rsidRPr="00B11076" w:rsidRDefault="00220EF2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</w:p>
    <w:p w:rsidR="00014DBE" w:rsidRDefault="00014DBE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  <w:r w:rsidRPr="00B11076">
        <w:rPr>
          <w:rFonts w:ascii="Bell MT" w:hAnsi="Bell MT"/>
          <w:sz w:val="24"/>
          <w:szCs w:val="24"/>
        </w:rPr>
        <w:t>Que, em caso de remoção forçada, o Poder Público não se utilize de violência ou coação moral contra os</w:t>
      </w:r>
      <w:r w:rsidR="00FA092E">
        <w:rPr>
          <w:rFonts w:ascii="Bell MT" w:hAnsi="Bell MT"/>
          <w:sz w:val="24"/>
          <w:szCs w:val="24"/>
        </w:rPr>
        <w:t xml:space="preserve"> ocupantes para a saída da área,</w:t>
      </w:r>
      <w:r w:rsidRPr="00B11076">
        <w:rPr>
          <w:rFonts w:ascii="Bell MT" w:hAnsi="Bell MT"/>
          <w:sz w:val="24"/>
          <w:szCs w:val="24"/>
        </w:rPr>
        <w:t xml:space="preserve"> </w:t>
      </w:r>
      <w:r w:rsidR="00FA092E">
        <w:rPr>
          <w:rFonts w:ascii="Bell MT" w:hAnsi="Bell MT"/>
          <w:sz w:val="24"/>
          <w:szCs w:val="24"/>
        </w:rPr>
        <w:t xml:space="preserve">tais como </w:t>
      </w:r>
      <w:r w:rsidRPr="00B11076">
        <w:rPr>
          <w:rFonts w:ascii="Bell MT" w:hAnsi="Bell MT"/>
          <w:sz w:val="24"/>
          <w:szCs w:val="24"/>
        </w:rPr>
        <w:t xml:space="preserve">gás de efeito moral ou balas de borracha. Para tanto, recomenda-se que representantes do Poder Público Municipal e assistentes sociais dialoguem com os ocupantes </w:t>
      </w:r>
      <w:r w:rsidR="00BD286B">
        <w:rPr>
          <w:rFonts w:ascii="Bell MT" w:hAnsi="Bell MT"/>
          <w:sz w:val="24"/>
          <w:szCs w:val="24"/>
        </w:rPr>
        <w:t xml:space="preserve">em </w:t>
      </w:r>
      <w:r w:rsidRPr="00B11076">
        <w:rPr>
          <w:rFonts w:ascii="Bell MT" w:hAnsi="Bell MT"/>
          <w:sz w:val="24"/>
          <w:szCs w:val="24"/>
        </w:rPr>
        <w:t>data agendada anterior</w:t>
      </w:r>
      <w:r w:rsidR="00BD286B">
        <w:rPr>
          <w:rFonts w:ascii="Bell MT" w:hAnsi="Bell MT"/>
          <w:sz w:val="24"/>
          <w:szCs w:val="24"/>
        </w:rPr>
        <w:t>mente</w:t>
      </w:r>
      <w:r w:rsidRPr="00B11076">
        <w:rPr>
          <w:rFonts w:ascii="Bell MT" w:hAnsi="Bell MT"/>
          <w:sz w:val="24"/>
          <w:szCs w:val="24"/>
        </w:rPr>
        <w:t xml:space="preserve"> a qualquer intervenção pública na área. Antes de se realizar</w:t>
      </w:r>
      <w:r w:rsidR="00BD286B">
        <w:rPr>
          <w:rFonts w:ascii="Bell MT" w:hAnsi="Bell MT"/>
          <w:sz w:val="24"/>
          <w:szCs w:val="24"/>
        </w:rPr>
        <w:t>em</w:t>
      </w:r>
      <w:r w:rsidRPr="00B11076">
        <w:rPr>
          <w:rFonts w:ascii="Bell MT" w:hAnsi="Bell MT"/>
          <w:sz w:val="24"/>
          <w:szCs w:val="24"/>
        </w:rPr>
        <w:t xml:space="preserve"> os atos concretos para a remoção, recomenda-se que seja franqueado tempo razoável, com prazo estipulado em dias, para que os ocupantes retirem seus pertences pessoais, móveis e utensílios. </w:t>
      </w:r>
      <w:r w:rsidR="00BD286B">
        <w:rPr>
          <w:rFonts w:ascii="Bell MT" w:hAnsi="Bell MT"/>
          <w:sz w:val="24"/>
          <w:szCs w:val="24"/>
        </w:rPr>
        <w:t>Caso o ato seja acompanhado pela Guarda Metropolitana</w:t>
      </w:r>
      <w:r w:rsidRPr="00B11076">
        <w:rPr>
          <w:rFonts w:ascii="Bell MT" w:hAnsi="Bell MT"/>
          <w:sz w:val="24"/>
          <w:szCs w:val="24"/>
        </w:rPr>
        <w:t>, que estes s</w:t>
      </w:r>
      <w:r w:rsidR="00BD286B">
        <w:rPr>
          <w:rFonts w:ascii="Bell MT" w:hAnsi="Bell MT"/>
          <w:sz w:val="24"/>
          <w:szCs w:val="24"/>
        </w:rPr>
        <w:t xml:space="preserve">ervidores públicos se limitem a resguardar </w:t>
      </w:r>
      <w:r w:rsidRPr="00B11076">
        <w:rPr>
          <w:rFonts w:ascii="Bell MT" w:hAnsi="Bell MT"/>
          <w:sz w:val="24"/>
          <w:szCs w:val="24"/>
        </w:rPr>
        <w:t>o cumprimento do ato, sendo-lhes defeso qualquer ato material para a desocupação da área.</w:t>
      </w:r>
    </w:p>
    <w:p w:rsidR="00220EF2" w:rsidRPr="000F082C" w:rsidRDefault="00220EF2" w:rsidP="00220EF2">
      <w:pPr>
        <w:spacing w:line="360" w:lineRule="auto"/>
        <w:jc w:val="both"/>
        <w:rPr>
          <w:rFonts w:ascii="Bell MT" w:hAnsi="Bell MT"/>
          <w:b/>
          <w:sz w:val="24"/>
          <w:szCs w:val="24"/>
        </w:rPr>
      </w:pPr>
    </w:p>
    <w:p w:rsidR="00014DBE" w:rsidRPr="000F082C" w:rsidRDefault="000F082C" w:rsidP="00220EF2">
      <w:pPr>
        <w:spacing w:line="360" w:lineRule="auto"/>
        <w:jc w:val="both"/>
        <w:rPr>
          <w:rFonts w:ascii="Bell MT" w:hAnsi="Bell MT"/>
          <w:b/>
          <w:sz w:val="24"/>
          <w:szCs w:val="24"/>
        </w:rPr>
      </w:pPr>
      <w:r w:rsidRPr="000F082C">
        <w:rPr>
          <w:rFonts w:ascii="Bell MT" w:hAnsi="Bell MT"/>
          <w:b/>
          <w:sz w:val="24"/>
          <w:szCs w:val="24"/>
        </w:rPr>
        <w:t>6 - Presenças</w:t>
      </w:r>
      <w:r w:rsidR="00014DBE" w:rsidRPr="000F082C">
        <w:rPr>
          <w:rFonts w:ascii="Bell MT" w:hAnsi="Bell MT"/>
          <w:b/>
          <w:sz w:val="24"/>
          <w:szCs w:val="24"/>
        </w:rPr>
        <w:t xml:space="preserve"> de Representantes do Poder Público </w:t>
      </w:r>
    </w:p>
    <w:p w:rsidR="00220EF2" w:rsidRPr="00B11076" w:rsidRDefault="00220EF2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</w:p>
    <w:p w:rsidR="00014DBE" w:rsidRDefault="00014DBE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  <w:r w:rsidRPr="00B11076">
        <w:rPr>
          <w:rFonts w:ascii="Bell MT" w:hAnsi="Bell MT"/>
          <w:sz w:val="24"/>
          <w:szCs w:val="24"/>
        </w:rPr>
        <w:t xml:space="preserve">Que estejam presentes no local representantes do Poder Público de diversas áreas, </w:t>
      </w:r>
      <w:r w:rsidR="00BD286B">
        <w:rPr>
          <w:rFonts w:ascii="Bell MT" w:hAnsi="Bell MT"/>
          <w:sz w:val="24"/>
          <w:szCs w:val="24"/>
        </w:rPr>
        <w:t xml:space="preserve">tais </w:t>
      </w:r>
      <w:r w:rsidRPr="00B11076">
        <w:rPr>
          <w:rFonts w:ascii="Bell MT" w:hAnsi="Bell MT"/>
          <w:sz w:val="24"/>
          <w:szCs w:val="24"/>
        </w:rPr>
        <w:t xml:space="preserve">como representantes da </w:t>
      </w:r>
      <w:r w:rsidR="00BD286B">
        <w:rPr>
          <w:rFonts w:ascii="Bell MT" w:hAnsi="Bell MT"/>
          <w:sz w:val="24"/>
          <w:szCs w:val="24"/>
        </w:rPr>
        <w:t>Secretaria do Desenvolvimento Social</w:t>
      </w:r>
      <w:r w:rsidRPr="00B11076">
        <w:rPr>
          <w:rFonts w:ascii="Bell MT" w:hAnsi="Bell MT"/>
          <w:sz w:val="24"/>
          <w:szCs w:val="24"/>
        </w:rPr>
        <w:t xml:space="preserve">; Secretaria de Habitação; </w:t>
      </w:r>
      <w:r w:rsidR="00BD286B">
        <w:rPr>
          <w:rFonts w:ascii="Bell MT" w:hAnsi="Bell MT"/>
          <w:sz w:val="24"/>
          <w:szCs w:val="24"/>
        </w:rPr>
        <w:t xml:space="preserve">Secretaria de Desenvolvimento Urbano Sustentável, Secretaria de Infraestrutura e </w:t>
      </w:r>
      <w:r w:rsidRPr="00B11076">
        <w:rPr>
          <w:rFonts w:ascii="Bell MT" w:hAnsi="Bell MT"/>
          <w:sz w:val="24"/>
          <w:szCs w:val="24"/>
        </w:rPr>
        <w:t xml:space="preserve">Conselho Tutelar, com atribuições definidas para a situação de remoção, capazes de informar a qualquer tempo a forma como foi realizada a desocupação dentro das recomendações expostas nesse documento. </w:t>
      </w:r>
    </w:p>
    <w:p w:rsidR="00EE4AB1" w:rsidRDefault="00EE4AB1" w:rsidP="00BF2CED">
      <w:pPr>
        <w:spacing w:line="360" w:lineRule="auto"/>
        <w:ind w:firstLine="708"/>
        <w:jc w:val="both"/>
        <w:rPr>
          <w:rFonts w:ascii="Bell MT" w:hAnsi="Bell MT"/>
          <w:sz w:val="24"/>
          <w:szCs w:val="24"/>
        </w:rPr>
      </w:pPr>
    </w:p>
    <w:p w:rsidR="00BF2CED" w:rsidRDefault="00BF2CED" w:rsidP="00BF2CED">
      <w:pPr>
        <w:spacing w:line="360" w:lineRule="auto"/>
        <w:ind w:firstLine="708"/>
        <w:jc w:val="both"/>
        <w:rPr>
          <w:rFonts w:ascii="Bell MT" w:hAnsi="Bell MT"/>
          <w:sz w:val="24"/>
          <w:szCs w:val="24"/>
        </w:rPr>
      </w:pPr>
    </w:p>
    <w:p w:rsidR="00BF2CED" w:rsidRDefault="00BF2CED" w:rsidP="00BF2CED">
      <w:pPr>
        <w:spacing w:line="360" w:lineRule="auto"/>
        <w:ind w:firstLine="708"/>
        <w:jc w:val="both"/>
        <w:rPr>
          <w:rFonts w:ascii="Bell MT" w:hAnsi="Bell MT"/>
          <w:sz w:val="24"/>
          <w:szCs w:val="24"/>
        </w:rPr>
      </w:pPr>
    </w:p>
    <w:p w:rsidR="00014DBE" w:rsidRPr="000F082C" w:rsidRDefault="00014DBE" w:rsidP="00220EF2">
      <w:pPr>
        <w:spacing w:line="360" w:lineRule="auto"/>
        <w:jc w:val="both"/>
        <w:rPr>
          <w:rFonts w:ascii="Bell MT" w:hAnsi="Bell MT"/>
          <w:b/>
          <w:sz w:val="24"/>
          <w:szCs w:val="24"/>
        </w:rPr>
      </w:pPr>
      <w:r w:rsidRPr="000F082C">
        <w:rPr>
          <w:rFonts w:ascii="Bell MT" w:hAnsi="Bell MT"/>
          <w:b/>
          <w:sz w:val="24"/>
          <w:szCs w:val="24"/>
        </w:rPr>
        <w:t xml:space="preserve">7 - Preservação dos Bens </w:t>
      </w:r>
    </w:p>
    <w:p w:rsidR="00220EF2" w:rsidRPr="00B11076" w:rsidRDefault="00220EF2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</w:p>
    <w:p w:rsidR="00014DBE" w:rsidRDefault="00014DBE" w:rsidP="00220EF2">
      <w:pPr>
        <w:spacing w:line="360" w:lineRule="auto"/>
        <w:jc w:val="both"/>
        <w:rPr>
          <w:rFonts w:ascii="Bell MT" w:hAnsi="Bell MT"/>
          <w:sz w:val="24"/>
          <w:szCs w:val="24"/>
        </w:rPr>
      </w:pPr>
      <w:r w:rsidRPr="00B11076">
        <w:rPr>
          <w:rFonts w:ascii="Bell MT" w:hAnsi="Bell MT"/>
          <w:sz w:val="24"/>
          <w:szCs w:val="24"/>
        </w:rPr>
        <w:t xml:space="preserve">Que, nos casos de remoções administrativas forçadas, os bens pertencentes aos ocupantes da área sejam devidamente arrolados, por escrito, cumprindo-se rigorosamente as formalidades necessárias, com a entrega de uma via ao ocupante no ato. Neste caso, a Administração Pública será responsável pelo transporte dos bens para o local </w:t>
      </w:r>
      <w:r w:rsidR="00BD286B">
        <w:rPr>
          <w:rFonts w:ascii="Bell MT" w:hAnsi="Bell MT"/>
          <w:sz w:val="24"/>
          <w:szCs w:val="24"/>
        </w:rPr>
        <w:t xml:space="preserve">indicado pelos </w:t>
      </w:r>
      <w:r w:rsidRPr="00B11076">
        <w:rPr>
          <w:rFonts w:ascii="Bell MT" w:hAnsi="Bell MT"/>
          <w:sz w:val="24"/>
          <w:szCs w:val="24"/>
        </w:rPr>
        <w:t xml:space="preserve">ocupantes. Caso não seja indicado local para o transporte de bens, a Administração Pública será fiel depositária, responsabilizando-se </w:t>
      </w:r>
      <w:r w:rsidR="00BD286B">
        <w:rPr>
          <w:rFonts w:ascii="Bell MT" w:hAnsi="Bell MT"/>
          <w:sz w:val="24"/>
          <w:szCs w:val="24"/>
        </w:rPr>
        <w:t xml:space="preserve">por eventual </w:t>
      </w:r>
      <w:r w:rsidRPr="00B11076">
        <w:rPr>
          <w:rFonts w:ascii="Bell MT" w:hAnsi="Bell MT"/>
          <w:sz w:val="24"/>
          <w:szCs w:val="24"/>
        </w:rPr>
        <w:t xml:space="preserve">extravio, perda ou violação. </w:t>
      </w:r>
    </w:p>
    <w:p w:rsidR="000F082C" w:rsidRPr="00220EF2" w:rsidRDefault="000F082C" w:rsidP="00220EF2">
      <w:pPr>
        <w:jc w:val="center"/>
        <w:rPr>
          <w:rFonts w:ascii="Bell MT" w:hAnsi="Bell MT"/>
          <w:b/>
          <w:sz w:val="24"/>
          <w:szCs w:val="24"/>
        </w:rPr>
      </w:pPr>
    </w:p>
    <w:p w:rsidR="00220EF2" w:rsidRPr="00B11076" w:rsidRDefault="00220EF2" w:rsidP="00014DBE">
      <w:pPr>
        <w:jc w:val="both"/>
        <w:rPr>
          <w:rFonts w:ascii="Bell MT" w:hAnsi="Bell MT"/>
          <w:sz w:val="24"/>
          <w:szCs w:val="24"/>
        </w:rPr>
      </w:pPr>
    </w:p>
    <w:p w:rsidR="00014DBE" w:rsidRPr="00B11076" w:rsidRDefault="00BF2CED" w:rsidP="00F434DF">
      <w:pPr>
        <w:spacing w:line="360" w:lineRule="auto"/>
        <w:ind w:firstLine="1418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Dessarte</w:t>
      </w:r>
      <w:r w:rsidR="00BD286B">
        <w:rPr>
          <w:rFonts w:ascii="Bell MT" w:hAnsi="Bell MT"/>
          <w:sz w:val="24"/>
          <w:szCs w:val="24"/>
        </w:rPr>
        <w:t xml:space="preserve">, </w:t>
      </w:r>
      <w:r w:rsidR="00F434DF" w:rsidRPr="00F434DF">
        <w:rPr>
          <w:rFonts w:ascii="Bell MT" w:hAnsi="Bell MT"/>
          <w:b/>
          <w:sz w:val="24"/>
          <w:szCs w:val="24"/>
        </w:rPr>
        <w:t>RECOMENDA-SE</w:t>
      </w:r>
      <w:r w:rsidR="00F434DF" w:rsidRPr="00B11076">
        <w:rPr>
          <w:rFonts w:ascii="Bell MT" w:hAnsi="Bell MT"/>
          <w:sz w:val="24"/>
          <w:szCs w:val="24"/>
        </w:rPr>
        <w:t xml:space="preserve"> </w:t>
      </w:r>
      <w:r w:rsidR="00014DBE" w:rsidRPr="00B11076">
        <w:rPr>
          <w:rFonts w:ascii="Bell MT" w:hAnsi="Bell MT"/>
          <w:sz w:val="24"/>
          <w:szCs w:val="24"/>
        </w:rPr>
        <w:t>que, nas excepcionais hipóteses de remoções administrativas</w:t>
      </w:r>
      <w:r w:rsidR="00BD286B">
        <w:rPr>
          <w:rFonts w:ascii="Bell MT" w:hAnsi="Bell MT"/>
          <w:sz w:val="24"/>
          <w:szCs w:val="24"/>
        </w:rPr>
        <w:t>,</w:t>
      </w:r>
      <w:r w:rsidR="00014DBE" w:rsidRPr="00B11076">
        <w:rPr>
          <w:rFonts w:ascii="Bell MT" w:hAnsi="Bell MT"/>
          <w:sz w:val="24"/>
          <w:szCs w:val="24"/>
        </w:rPr>
        <w:t xml:space="preserve"> a serem eventualmente realizadas</w:t>
      </w:r>
      <w:r w:rsidR="000F082C">
        <w:rPr>
          <w:rFonts w:ascii="Bell MT" w:hAnsi="Bell MT"/>
          <w:sz w:val="24"/>
          <w:szCs w:val="24"/>
        </w:rPr>
        <w:t xml:space="preserve"> pelo Governo Municipal de Palmas-TO</w:t>
      </w:r>
      <w:r w:rsidR="00014DBE" w:rsidRPr="00B11076">
        <w:rPr>
          <w:rFonts w:ascii="Bell MT" w:hAnsi="Bell MT"/>
          <w:sz w:val="24"/>
          <w:szCs w:val="24"/>
        </w:rPr>
        <w:t xml:space="preserve">, sejam devidamente observadas </w:t>
      </w:r>
      <w:r>
        <w:rPr>
          <w:rFonts w:ascii="Bell MT" w:hAnsi="Bell MT"/>
          <w:sz w:val="24"/>
          <w:szCs w:val="24"/>
        </w:rPr>
        <w:t>a</w:t>
      </w:r>
      <w:r w:rsidR="000F082C" w:rsidRPr="00B11076">
        <w:rPr>
          <w:rFonts w:ascii="Bell MT" w:hAnsi="Bell MT"/>
          <w:sz w:val="24"/>
          <w:szCs w:val="24"/>
        </w:rPr>
        <w:t>s</w:t>
      </w:r>
      <w:r w:rsidR="00014DBE" w:rsidRPr="00B11076">
        <w:rPr>
          <w:rFonts w:ascii="Bell MT" w:hAnsi="Bell MT"/>
          <w:sz w:val="24"/>
          <w:szCs w:val="24"/>
        </w:rPr>
        <w:t xml:space="preserve"> diretrizes de atuação acima delineadas, todas embasadas nas normativas que regulamentam a matéria, de modo a preservar os direitos fundamentais dos munícipes residentes em referidas áreas, independentemente da adoção, pela Defensoria Pública do Estado</w:t>
      </w:r>
      <w:r w:rsidR="00F434DF">
        <w:rPr>
          <w:rFonts w:ascii="Bell MT" w:hAnsi="Bell MT"/>
          <w:sz w:val="24"/>
          <w:szCs w:val="24"/>
        </w:rPr>
        <w:t xml:space="preserve"> do Tocantins</w:t>
      </w:r>
      <w:r w:rsidR="00014DBE" w:rsidRPr="00B11076">
        <w:rPr>
          <w:rFonts w:ascii="Bell MT" w:hAnsi="Bell MT"/>
          <w:sz w:val="24"/>
          <w:szCs w:val="24"/>
        </w:rPr>
        <w:t xml:space="preserve">, de medidas administrativas e judiciais que venham a se fazer necessárias no caso de inobservância. </w:t>
      </w:r>
    </w:p>
    <w:p w:rsidR="00014DBE" w:rsidRDefault="00014DBE" w:rsidP="00D777F5">
      <w:pPr>
        <w:spacing w:line="360" w:lineRule="auto"/>
        <w:ind w:firstLine="1418"/>
        <w:jc w:val="both"/>
        <w:rPr>
          <w:rFonts w:ascii="Bell MT" w:hAnsi="Bell MT" w:cs="Arial"/>
          <w:sz w:val="24"/>
          <w:szCs w:val="24"/>
        </w:rPr>
      </w:pPr>
    </w:p>
    <w:p w:rsidR="00D777F5" w:rsidRDefault="0038617D" w:rsidP="00D777F5">
      <w:pPr>
        <w:spacing w:line="360" w:lineRule="auto"/>
        <w:ind w:firstLine="1418"/>
        <w:jc w:val="both"/>
        <w:rPr>
          <w:rFonts w:ascii="Bell MT" w:hAnsi="Bell MT" w:cs="Arial"/>
          <w:sz w:val="24"/>
          <w:szCs w:val="24"/>
        </w:rPr>
      </w:pPr>
      <w:r>
        <w:rPr>
          <w:rFonts w:ascii="Bell MT" w:hAnsi="Bell MT" w:cs="Arial"/>
          <w:sz w:val="24"/>
          <w:szCs w:val="24"/>
        </w:rPr>
        <w:t>Na oportunidade, requer-se sejam prestadas informações a este Núcleo de Ações Coletivas, no prazo de 30 (trinta) dias, acerca das providências adotadas a partir do recebimento desta.</w:t>
      </w:r>
    </w:p>
    <w:p w:rsidR="003579FB" w:rsidRDefault="003579FB" w:rsidP="00D777F5">
      <w:pPr>
        <w:spacing w:line="360" w:lineRule="auto"/>
        <w:ind w:firstLine="1418"/>
        <w:jc w:val="both"/>
        <w:rPr>
          <w:rFonts w:ascii="Bell MT" w:hAnsi="Bell MT" w:cs="Arial"/>
          <w:sz w:val="24"/>
          <w:szCs w:val="24"/>
        </w:rPr>
      </w:pPr>
    </w:p>
    <w:p w:rsidR="00F6798D" w:rsidRDefault="00FA2692" w:rsidP="00D777F5">
      <w:pPr>
        <w:spacing w:line="360" w:lineRule="auto"/>
        <w:ind w:firstLine="1418"/>
        <w:jc w:val="both"/>
        <w:rPr>
          <w:rFonts w:ascii="Bell MT" w:eastAsia="Arial Unicode MS" w:hAnsi="Bell MT"/>
          <w:color w:val="000000"/>
          <w:sz w:val="24"/>
          <w:szCs w:val="24"/>
        </w:rPr>
      </w:pPr>
      <w:r w:rsidRPr="00F27ED5">
        <w:rPr>
          <w:rFonts w:ascii="Bell MT" w:eastAsia="Arial Unicode MS" w:hAnsi="Bell MT"/>
          <w:color w:val="000000"/>
          <w:sz w:val="24"/>
          <w:szCs w:val="24"/>
        </w:rPr>
        <w:t xml:space="preserve">Palmas-TO, </w:t>
      </w:r>
      <w:r w:rsidR="00BF2CED">
        <w:rPr>
          <w:rFonts w:ascii="Bell MT" w:eastAsia="Arial Unicode MS" w:hAnsi="Bell MT"/>
          <w:color w:val="000000"/>
          <w:sz w:val="24"/>
          <w:szCs w:val="24"/>
        </w:rPr>
        <w:t>aos 2</w:t>
      </w:r>
      <w:r w:rsidR="003579FB">
        <w:rPr>
          <w:rFonts w:ascii="Bell MT" w:eastAsia="Arial Unicode MS" w:hAnsi="Bell MT"/>
          <w:color w:val="000000"/>
          <w:sz w:val="24"/>
          <w:szCs w:val="24"/>
        </w:rPr>
        <w:t xml:space="preserve"> de junho</w:t>
      </w:r>
      <w:r w:rsidRPr="00F27ED5">
        <w:rPr>
          <w:rFonts w:ascii="Bell MT" w:eastAsia="Arial Unicode MS" w:hAnsi="Bell MT"/>
          <w:color w:val="000000"/>
          <w:sz w:val="24"/>
          <w:szCs w:val="24"/>
        </w:rPr>
        <w:t xml:space="preserve"> de 2015</w:t>
      </w:r>
      <w:r w:rsidR="00F6798D" w:rsidRPr="00F27ED5">
        <w:rPr>
          <w:rFonts w:ascii="Bell MT" w:eastAsia="Arial Unicode MS" w:hAnsi="Bell MT"/>
          <w:color w:val="000000"/>
          <w:sz w:val="24"/>
          <w:szCs w:val="24"/>
        </w:rPr>
        <w:t>.</w:t>
      </w:r>
    </w:p>
    <w:p w:rsidR="0008320D" w:rsidRDefault="0008320D">
      <w:pPr>
        <w:ind w:left="1401"/>
        <w:jc w:val="both"/>
        <w:rPr>
          <w:rFonts w:ascii="Bell MT" w:eastAsia="Arial Unicode MS" w:hAnsi="Bell MT"/>
          <w:color w:val="000000"/>
          <w:sz w:val="24"/>
          <w:szCs w:val="24"/>
        </w:rPr>
      </w:pPr>
    </w:p>
    <w:p w:rsidR="0038617D" w:rsidRPr="00F27ED5" w:rsidRDefault="0038617D">
      <w:pPr>
        <w:ind w:left="1401"/>
        <w:jc w:val="both"/>
        <w:rPr>
          <w:rFonts w:ascii="Bell MT" w:eastAsia="Arial Unicode MS" w:hAnsi="Bell MT"/>
          <w:color w:val="000000"/>
          <w:sz w:val="24"/>
          <w:szCs w:val="24"/>
        </w:rPr>
      </w:pPr>
    </w:p>
    <w:p w:rsidR="00D654AF" w:rsidRPr="00F27ED5" w:rsidRDefault="00FA2692" w:rsidP="00D654AF">
      <w:pPr>
        <w:autoSpaceDE w:val="0"/>
        <w:jc w:val="center"/>
        <w:rPr>
          <w:rFonts w:ascii="Bell MT" w:hAnsi="Bell MT" w:cs="Arial"/>
          <w:sz w:val="24"/>
          <w:szCs w:val="24"/>
        </w:rPr>
      </w:pPr>
      <w:r w:rsidRPr="00F27ED5">
        <w:rPr>
          <w:rFonts w:ascii="Bell MT" w:hAnsi="Bell MT" w:cs="Arial"/>
          <w:sz w:val="24"/>
          <w:szCs w:val="24"/>
        </w:rPr>
        <w:t>Isabella Faustino Alves</w:t>
      </w:r>
    </w:p>
    <w:p w:rsidR="00D654AF" w:rsidRPr="00F27ED5" w:rsidRDefault="00D654AF" w:rsidP="00D654AF">
      <w:pPr>
        <w:jc w:val="center"/>
        <w:rPr>
          <w:rFonts w:ascii="Bell MT" w:eastAsia="ArialMT" w:hAnsi="Bell MT" w:cs="Arial"/>
          <w:sz w:val="24"/>
          <w:szCs w:val="24"/>
        </w:rPr>
      </w:pPr>
      <w:r w:rsidRPr="00F27ED5">
        <w:rPr>
          <w:rFonts w:ascii="Bell MT" w:eastAsia="ArialMT" w:hAnsi="Bell MT" w:cs="Arial"/>
          <w:b/>
          <w:sz w:val="24"/>
          <w:szCs w:val="24"/>
        </w:rPr>
        <w:t>Defensor</w:t>
      </w:r>
      <w:r w:rsidR="00FA2692" w:rsidRPr="00F27ED5">
        <w:rPr>
          <w:rFonts w:ascii="Bell MT" w:eastAsia="ArialMT" w:hAnsi="Bell MT" w:cs="Arial"/>
          <w:b/>
          <w:sz w:val="24"/>
          <w:szCs w:val="24"/>
        </w:rPr>
        <w:t>a</w:t>
      </w:r>
      <w:r w:rsidRPr="00F27ED5">
        <w:rPr>
          <w:rFonts w:ascii="Bell MT" w:eastAsia="ArialMT" w:hAnsi="Bell MT" w:cs="Arial"/>
          <w:b/>
          <w:sz w:val="24"/>
          <w:szCs w:val="24"/>
        </w:rPr>
        <w:t xml:space="preserve"> Públic</w:t>
      </w:r>
      <w:r w:rsidR="00FA2692" w:rsidRPr="00F27ED5">
        <w:rPr>
          <w:rFonts w:ascii="Bell MT" w:eastAsia="ArialMT" w:hAnsi="Bell MT" w:cs="Arial"/>
          <w:b/>
          <w:sz w:val="24"/>
          <w:szCs w:val="24"/>
        </w:rPr>
        <w:t>a</w:t>
      </w:r>
    </w:p>
    <w:p w:rsidR="00E12CDA" w:rsidRPr="00F27ED5" w:rsidRDefault="00D654AF" w:rsidP="00D654AF">
      <w:pPr>
        <w:jc w:val="center"/>
        <w:rPr>
          <w:rFonts w:ascii="Bell MT" w:eastAsia="ArialMT" w:hAnsi="Bell MT" w:cs="Arial"/>
          <w:sz w:val="24"/>
          <w:szCs w:val="24"/>
        </w:rPr>
      </w:pPr>
      <w:r w:rsidRPr="00F27ED5">
        <w:rPr>
          <w:rFonts w:ascii="Bell MT" w:eastAsia="ArialMT" w:hAnsi="Bell MT" w:cs="Arial"/>
          <w:sz w:val="24"/>
          <w:szCs w:val="24"/>
        </w:rPr>
        <w:t>Coordenador</w:t>
      </w:r>
      <w:r w:rsidR="00FA2692" w:rsidRPr="00F27ED5">
        <w:rPr>
          <w:rFonts w:ascii="Bell MT" w:eastAsia="ArialMT" w:hAnsi="Bell MT" w:cs="Arial"/>
          <w:sz w:val="24"/>
          <w:szCs w:val="24"/>
        </w:rPr>
        <w:t>a</w:t>
      </w:r>
      <w:r w:rsidRPr="00F27ED5">
        <w:rPr>
          <w:rFonts w:ascii="Bell MT" w:eastAsia="ArialMT" w:hAnsi="Bell MT" w:cs="Arial"/>
          <w:sz w:val="24"/>
          <w:szCs w:val="24"/>
        </w:rPr>
        <w:t xml:space="preserve"> do Núcleo de Ações Coletivas-NAC</w:t>
      </w:r>
    </w:p>
    <w:p w:rsidR="00D654AF" w:rsidRPr="00F27ED5" w:rsidRDefault="00D654AF" w:rsidP="00D654AF">
      <w:pPr>
        <w:jc w:val="center"/>
        <w:rPr>
          <w:rFonts w:ascii="Bell MT" w:eastAsia="ArialMT" w:hAnsi="Bell MT" w:cs="Arial"/>
          <w:sz w:val="24"/>
          <w:szCs w:val="24"/>
        </w:rPr>
      </w:pPr>
    </w:p>
    <w:sectPr w:rsidR="00D654AF" w:rsidRPr="00F27ED5" w:rsidSect="00EA6EAF">
      <w:headerReference w:type="default" r:id="rId10"/>
      <w:footerReference w:type="default" r:id="rId11"/>
      <w:pgSz w:w="11905" w:h="16837"/>
      <w:pgMar w:top="2620" w:right="907" w:bottom="851" w:left="1701" w:header="397" w:footer="397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F52" w:rsidRDefault="00525F52">
      <w:r>
        <w:separator/>
      </w:r>
    </w:p>
  </w:endnote>
  <w:endnote w:type="continuationSeparator" w:id="0">
    <w:p w:rsidR="00525F52" w:rsidRDefault="00525F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TimesNewRoman"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84676"/>
      <w:docPartObj>
        <w:docPartGallery w:val="Page Numbers (Bottom of Page)"/>
        <w:docPartUnique/>
      </w:docPartObj>
    </w:sdtPr>
    <w:sdtEndPr>
      <w:rPr>
        <w:rFonts w:ascii="Bell MT" w:hAnsi="Bell MT"/>
        <w:sz w:val="24"/>
        <w:szCs w:val="24"/>
      </w:rPr>
    </w:sdtEndPr>
    <w:sdtContent>
      <w:p w:rsidR="0038617D" w:rsidRDefault="00317E86" w:rsidP="00BC3370">
        <w:pPr>
          <w:pBdr>
            <w:top w:val="single" w:sz="4" w:space="1" w:color="auto"/>
          </w:pBdr>
          <w:jc w:val="center"/>
          <w:rPr>
            <w:rFonts w:ascii="Bell MT" w:hAnsi="Bell MT"/>
            <w:color w:val="000000" w:themeColor="text1"/>
            <w:sz w:val="20"/>
          </w:rPr>
        </w:pPr>
        <w:r>
          <w:rPr>
            <w:rFonts w:ascii="Bell MT" w:hAnsi="Bell MT"/>
            <w:color w:val="000000" w:themeColor="text1"/>
            <w:sz w:val="20"/>
          </w:rPr>
          <w:fldChar w:fldCharType="begin"/>
        </w:r>
        <w:r w:rsidR="0038617D">
          <w:rPr>
            <w:rFonts w:ascii="Bell MT" w:hAnsi="Bell MT"/>
            <w:color w:val="000000" w:themeColor="text1"/>
            <w:sz w:val="20"/>
          </w:rPr>
          <w:instrText xml:space="preserve"> PAGE   \* MERGEFORMAT </w:instrText>
        </w:r>
        <w:r>
          <w:rPr>
            <w:rFonts w:ascii="Bell MT" w:hAnsi="Bell MT"/>
            <w:color w:val="000000" w:themeColor="text1"/>
            <w:sz w:val="20"/>
          </w:rPr>
          <w:fldChar w:fldCharType="separate"/>
        </w:r>
        <w:r w:rsidR="00525F52">
          <w:rPr>
            <w:rFonts w:ascii="Bell MT" w:hAnsi="Bell MT"/>
            <w:noProof/>
            <w:color w:val="000000" w:themeColor="text1"/>
            <w:sz w:val="20"/>
          </w:rPr>
          <w:t>1</w:t>
        </w:r>
        <w:r>
          <w:rPr>
            <w:rFonts w:ascii="Bell MT" w:hAnsi="Bell MT"/>
            <w:color w:val="000000" w:themeColor="text1"/>
            <w:sz w:val="20"/>
          </w:rPr>
          <w:fldChar w:fldCharType="end"/>
        </w:r>
        <w:r w:rsidR="0038617D">
          <w:rPr>
            <w:rFonts w:ascii="Bell MT" w:hAnsi="Bell MT"/>
            <w:color w:val="000000" w:themeColor="text1"/>
            <w:sz w:val="20"/>
          </w:rPr>
          <w:t xml:space="preserve"> - Avenida Joaquim Teotônio Segurado, QD. 502 Sul, Edifício Sede, 2º andar, Ala Sul, CEP: 77021-654, Fone: (63) 3218-6951, </w:t>
        </w:r>
        <w:hyperlink r:id="rId1" w:history="1">
          <w:r w:rsidR="0038617D">
            <w:rPr>
              <w:rStyle w:val="Hyperlink"/>
              <w:rFonts w:ascii="Bell MT" w:hAnsi="Bell MT" w:cs="Arial"/>
              <w:b/>
              <w:sz w:val="20"/>
            </w:rPr>
            <w:t>nac@defensoria.to.gov.br</w:t>
          </w:r>
        </w:hyperlink>
        <w:r w:rsidR="0038617D">
          <w:t xml:space="preserve">, </w:t>
        </w:r>
        <w:r w:rsidR="0038617D">
          <w:rPr>
            <w:rFonts w:ascii="Bell MT" w:hAnsi="Bell MT"/>
            <w:color w:val="000000" w:themeColor="text1"/>
            <w:sz w:val="20"/>
          </w:rPr>
          <w:t>Palmas-TO</w:t>
        </w:r>
      </w:p>
      <w:p w:rsidR="0038617D" w:rsidRPr="00FA2692" w:rsidRDefault="00317E86">
        <w:pPr>
          <w:pStyle w:val="Rodap"/>
          <w:jc w:val="right"/>
          <w:rPr>
            <w:rFonts w:ascii="Bell MT" w:hAnsi="Bell MT"/>
            <w:sz w:val="24"/>
            <w:szCs w:val="24"/>
          </w:rPr>
        </w:pPr>
      </w:p>
    </w:sdtContent>
  </w:sdt>
  <w:p w:rsidR="0038617D" w:rsidRPr="00FA2692" w:rsidRDefault="0038617D" w:rsidP="00FA2692">
    <w:pPr>
      <w:pStyle w:val="Rodap"/>
      <w:rPr>
        <w:rFonts w:ascii="Bell MT" w:hAnsi="Bell MT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F52" w:rsidRDefault="00525F52">
      <w:r>
        <w:separator/>
      </w:r>
    </w:p>
  </w:footnote>
  <w:footnote w:type="continuationSeparator" w:id="0">
    <w:p w:rsidR="00525F52" w:rsidRDefault="00525F52">
      <w:r>
        <w:continuationSeparator/>
      </w:r>
    </w:p>
  </w:footnote>
  <w:footnote w:id="1">
    <w:p w:rsidR="0038617D" w:rsidRPr="005006A5" w:rsidRDefault="0038617D" w:rsidP="00D67E20">
      <w:pPr>
        <w:jc w:val="both"/>
        <w:rPr>
          <w:rFonts w:ascii="Bell MT" w:hAnsi="Bell MT" w:cs="Arial"/>
          <w:sz w:val="20"/>
        </w:rPr>
      </w:pPr>
      <w:r w:rsidRPr="005006A5">
        <w:rPr>
          <w:rStyle w:val="Refdenotaderodap"/>
          <w:rFonts w:ascii="Bell MT" w:hAnsi="Bell MT"/>
          <w:sz w:val="20"/>
        </w:rPr>
        <w:footnoteRef/>
      </w:r>
      <w:r w:rsidRPr="00AC3396">
        <w:rPr>
          <w:rFonts w:ascii="Bell MT" w:hAnsi="Bell MT" w:cs="Arial"/>
          <w:sz w:val="20"/>
        </w:rPr>
        <w:t xml:space="preserve">Os arts. </w:t>
      </w:r>
      <w:r w:rsidRPr="005006A5">
        <w:rPr>
          <w:rFonts w:ascii="Bell MT" w:hAnsi="Bell MT" w:cs="Arial"/>
          <w:sz w:val="20"/>
        </w:rPr>
        <w:t xml:space="preserve">21da Lei da Ação Civil Pública e 90 do CDC, com normas de envio, </w:t>
      </w:r>
      <w:r w:rsidRPr="005006A5">
        <w:rPr>
          <w:rFonts w:ascii="Bell MT" w:hAnsi="Bell MT" w:cs="Arial"/>
          <w:b/>
          <w:sz w:val="20"/>
        </w:rPr>
        <w:t>possibilitaram o surgimento do denominado Microssistema ou Minissistema de proteção dos interesses ou direitos coletivos amplo senso</w:t>
      </w:r>
      <w:r w:rsidRPr="005006A5">
        <w:rPr>
          <w:rFonts w:ascii="Bell MT" w:hAnsi="Bell MT" w:cs="Arial"/>
          <w:sz w:val="20"/>
        </w:rPr>
        <w:t>, no qual se comunicam outras normas, com o Estatuto do Idoso e</w:t>
      </w:r>
      <w:r>
        <w:rPr>
          <w:rFonts w:ascii="Bell MT" w:hAnsi="Bell MT" w:cs="Arial"/>
          <w:sz w:val="20"/>
        </w:rPr>
        <w:t xml:space="preserve"> </w:t>
      </w:r>
      <w:r w:rsidRPr="005006A5">
        <w:rPr>
          <w:rFonts w:ascii="Bell MT" w:hAnsi="Bell MT" w:cs="Arial"/>
          <w:sz w:val="20"/>
        </w:rPr>
        <w:t>o da Criança e do Adolescente, a Lei da Ação Popular, a Lei de Improbidade Administrativa e outras que visam tutelar diretos dessa natureza, de forma que os instrumentos e institutos podem ser utilizados para "propiciar sua adequada e efetiva tutela" (art. 83do CD). RECURSO ESPECIAL Nº 1.21.254-RJ (201/0190387-2); Relator Ministro Arnaldo Esteves Lima. Data do Julgamento: 05 de julho de 2012.</w:t>
      </w:r>
    </w:p>
    <w:p w:rsidR="0038617D" w:rsidRDefault="0038617D" w:rsidP="00D67E20">
      <w:pPr>
        <w:jc w:val="both"/>
      </w:pPr>
    </w:p>
  </w:footnote>
  <w:footnote w:id="2">
    <w:p w:rsidR="0038617D" w:rsidRDefault="0038617D" w:rsidP="00DB5336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hyperlink r:id="rId1" w:history="1">
        <w:r w:rsidRPr="004D2505">
          <w:rPr>
            <w:rStyle w:val="Hyperlink"/>
          </w:rPr>
          <w:t>http://globotv.globo.com/tv-anhanguera-to/bom-dia-tocantins/v/prefeitura-derruba-casa-e-revolta-moradores-no-setor-uniao-sul-em-palmas/4212441/</w:t>
        </w:r>
      </w:hyperlink>
    </w:p>
    <w:p w:rsidR="0038617D" w:rsidRDefault="0038617D" w:rsidP="00DB5336">
      <w:pPr>
        <w:pStyle w:val="Textodenotaderodap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7D" w:rsidRDefault="0038617D" w:rsidP="00BB0F4D">
    <w:pPr>
      <w:pStyle w:val="Cabealho"/>
      <w:tabs>
        <w:tab w:val="left" w:pos="3717"/>
      </w:tabs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>
          <wp:extent cx="1219200" cy="1123950"/>
          <wp:effectExtent l="19050" t="0" r="0" b="0"/>
          <wp:docPr id="1" name="Imagem 1" descr="_Logo para Document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_Logo para Documento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3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                                                                                                                 </w:t>
    </w:r>
    <w:r>
      <w:rPr>
        <w:rFonts w:ascii="Arial Narrow" w:hAnsi="Arial Narrow"/>
        <w:b/>
        <w:i/>
        <w:noProof/>
      </w:rPr>
      <w:drawing>
        <wp:inline distT="0" distB="0" distL="0" distR="0">
          <wp:extent cx="1638300" cy="990600"/>
          <wp:effectExtent l="19050" t="0" r="0" b="0"/>
          <wp:docPr id="2" name="Imagem 2" descr="na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c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  <w:p w:rsidR="0038617D" w:rsidRPr="007060E3" w:rsidRDefault="0038617D" w:rsidP="00BB0F4D">
    <w:pPr>
      <w:jc w:val="center"/>
      <w:rPr>
        <w:rFonts w:ascii="Arial" w:hAnsi="Arial" w:cs="Arial"/>
        <w:b/>
        <w:sz w:val="24"/>
        <w:szCs w:val="24"/>
      </w:rPr>
    </w:pPr>
    <w:r w:rsidRPr="007060E3">
      <w:rPr>
        <w:rFonts w:ascii="Arial" w:hAnsi="Arial" w:cs="Arial"/>
        <w:b/>
        <w:sz w:val="24"/>
        <w:szCs w:val="24"/>
      </w:rPr>
      <w:t>NÚCLEO ESPECIALIZADO DE DIREITOS DIFUSOS, COLETIVOS E INDIVIDUAIS</w:t>
    </w:r>
    <w:r w:rsidRPr="007060E3">
      <w:rPr>
        <w:rFonts w:ascii="Arial" w:hAnsi="Arial" w:cs="Arial"/>
        <w:b/>
        <w:bCs/>
        <w:smallCaps/>
        <w:color w:val="000000"/>
        <w:sz w:val="24"/>
        <w:szCs w:val="24"/>
      </w:rPr>
      <w:t xml:space="preserve"> </w:t>
    </w:r>
    <w:r w:rsidRPr="007060E3">
      <w:rPr>
        <w:rFonts w:ascii="Arial" w:hAnsi="Arial" w:cs="Arial"/>
        <w:b/>
        <w:sz w:val="24"/>
        <w:szCs w:val="24"/>
      </w:rPr>
      <w:t>HOMOGÊNEOS - NÚCLEO DE AÇÕES COLETIVAS. – NAC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94F181D"/>
    <w:multiLevelType w:val="hybridMultilevel"/>
    <w:tmpl w:val="41A83776"/>
    <w:lvl w:ilvl="0" w:tplc="139A44D6">
      <w:start w:val="1"/>
      <w:numFmt w:val="decimal"/>
      <w:lvlText w:val="%1)"/>
      <w:lvlJc w:val="left"/>
      <w:pPr>
        <w:ind w:left="3195" w:hanging="360"/>
      </w:pPr>
      <w:rPr>
        <w:rFonts w:cs="Times New Roman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"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hdrShapeDefaults>
    <o:shapedefaults v:ext="edit" spidmax="4098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169BF"/>
    <w:rsid w:val="00014DBE"/>
    <w:rsid w:val="000200FA"/>
    <w:rsid w:val="0007180A"/>
    <w:rsid w:val="000776EB"/>
    <w:rsid w:val="00077D0C"/>
    <w:rsid w:val="00077E6D"/>
    <w:rsid w:val="0008320D"/>
    <w:rsid w:val="000B5940"/>
    <w:rsid w:val="000B6CA9"/>
    <w:rsid w:val="000C0941"/>
    <w:rsid w:val="000F082C"/>
    <w:rsid w:val="00103725"/>
    <w:rsid w:val="00107F04"/>
    <w:rsid w:val="0012628A"/>
    <w:rsid w:val="00172930"/>
    <w:rsid w:val="001A659A"/>
    <w:rsid w:val="001C49F8"/>
    <w:rsid w:val="001D2A63"/>
    <w:rsid w:val="0021351D"/>
    <w:rsid w:val="00220EF2"/>
    <w:rsid w:val="0025410C"/>
    <w:rsid w:val="002D7FBC"/>
    <w:rsid w:val="002E30B2"/>
    <w:rsid w:val="00300FF6"/>
    <w:rsid w:val="00307286"/>
    <w:rsid w:val="003105DC"/>
    <w:rsid w:val="00317E86"/>
    <w:rsid w:val="00320693"/>
    <w:rsid w:val="003576A6"/>
    <w:rsid w:val="003579FB"/>
    <w:rsid w:val="00370DE2"/>
    <w:rsid w:val="0038617D"/>
    <w:rsid w:val="003C3442"/>
    <w:rsid w:val="003C7153"/>
    <w:rsid w:val="003E56CC"/>
    <w:rsid w:val="003F2A26"/>
    <w:rsid w:val="00400C43"/>
    <w:rsid w:val="004041CC"/>
    <w:rsid w:val="00424FA2"/>
    <w:rsid w:val="00477F20"/>
    <w:rsid w:val="0048006B"/>
    <w:rsid w:val="004C3E46"/>
    <w:rsid w:val="004E4D4E"/>
    <w:rsid w:val="0051197F"/>
    <w:rsid w:val="00515807"/>
    <w:rsid w:val="00525F52"/>
    <w:rsid w:val="0052689C"/>
    <w:rsid w:val="0054234F"/>
    <w:rsid w:val="0054629B"/>
    <w:rsid w:val="005474D5"/>
    <w:rsid w:val="00583D63"/>
    <w:rsid w:val="0058613C"/>
    <w:rsid w:val="0058639A"/>
    <w:rsid w:val="00597696"/>
    <w:rsid w:val="005B1DD1"/>
    <w:rsid w:val="005B44DB"/>
    <w:rsid w:val="005D3249"/>
    <w:rsid w:val="005E268C"/>
    <w:rsid w:val="00602FA9"/>
    <w:rsid w:val="00617C76"/>
    <w:rsid w:val="00656623"/>
    <w:rsid w:val="006600F8"/>
    <w:rsid w:val="006A1C8D"/>
    <w:rsid w:val="006B6303"/>
    <w:rsid w:val="006B7FE4"/>
    <w:rsid w:val="006C793A"/>
    <w:rsid w:val="006D00F4"/>
    <w:rsid w:val="006F6D09"/>
    <w:rsid w:val="0071311E"/>
    <w:rsid w:val="00736391"/>
    <w:rsid w:val="00743334"/>
    <w:rsid w:val="00744BC8"/>
    <w:rsid w:val="00750B40"/>
    <w:rsid w:val="00763EC4"/>
    <w:rsid w:val="00770916"/>
    <w:rsid w:val="00770AFD"/>
    <w:rsid w:val="007724F2"/>
    <w:rsid w:val="00775615"/>
    <w:rsid w:val="00782AF0"/>
    <w:rsid w:val="007A647D"/>
    <w:rsid w:val="007E53E1"/>
    <w:rsid w:val="007E7132"/>
    <w:rsid w:val="0081345C"/>
    <w:rsid w:val="0087745A"/>
    <w:rsid w:val="008959F5"/>
    <w:rsid w:val="008A79ED"/>
    <w:rsid w:val="008C7D61"/>
    <w:rsid w:val="008D1813"/>
    <w:rsid w:val="008E1B63"/>
    <w:rsid w:val="008E4C4B"/>
    <w:rsid w:val="008F5CE1"/>
    <w:rsid w:val="008F6720"/>
    <w:rsid w:val="00910B11"/>
    <w:rsid w:val="009169BF"/>
    <w:rsid w:val="009539CB"/>
    <w:rsid w:val="009D20C0"/>
    <w:rsid w:val="009E1F58"/>
    <w:rsid w:val="009F62E6"/>
    <w:rsid w:val="00A65070"/>
    <w:rsid w:val="00A83F6F"/>
    <w:rsid w:val="00A944B8"/>
    <w:rsid w:val="00AB11B3"/>
    <w:rsid w:val="00AC3396"/>
    <w:rsid w:val="00AC4D57"/>
    <w:rsid w:val="00AD5F38"/>
    <w:rsid w:val="00AD6557"/>
    <w:rsid w:val="00AE53F6"/>
    <w:rsid w:val="00AF0546"/>
    <w:rsid w:val="00AF672F"/>
    <w:rsid w:val="00B31318"/>
    <w:rsid w:val="00B7455C"/>
    <w:rsid w:val="00B97251"/>
    <w:rsid w:val="00BB0F4D"/>
    <w:rsid w:val="00BC3370"/>
    <w:rsid w:val="00BD1546"/>
    <w:rsid w:val="00BD2343"/>
    <w:rsid w:val="00BD286B"/>
    <w:rsid w:val="00BD594B"/>
    <w:rsid w:val="00BE0813"/>
    <w:rsid w:val="00BE208A"/>
    <w:rsid w:val="00BF0276"/>
    <w:rsid w:val="00BF2CED"/>
    <w:rsid w:val="00C02F46"/>
    <w:rsid w:val="00C6635C"/>
    <w:rsid w:val="00C9097D"/>
    <w:rsid w:val="00CB6B16"/>
    <w:rsid w:val="00CD418D"/>
    <w:rsid w:val="00D149A6"/>
    <w:rsid w:val="00D36162"/>
    <w:rsid w:val="00D413C7"/>
    <w:rsid w:val="00D654AF"/>
    <w:rsid w:val="00D67E20"/>
    <w:rsid w:val="00D777F5"/>
    <w:rsid w:val="00DB5336"/>
    <w:rsid w:val="00DD0109"/>
    <w:rsid w:val="00DD5081"/>
    <w:rsid w:val="00E11A96"/>
    <w:rsid w:val="00E12CDA"/>
    <w:rsid w:val="00E376D4"/>
    <w:rsid w:val="00E42095"/>
    <w:rsid w:val="00E612FE"/>
    <w:rsid w:val="00E63A1F"/>
    <w:rsid w:val="00E80412"/>
    <w:rsid w:val="00E91ECF"/>
    <w:rsid w:val="00E93DC1"/>
    <w:rsid w:val="00E94B34"/>
    <w:rsid w:val="00EA66E2"/>
    <w:rsid w:val="00EA6EAF"/>
    <w:rsid w:val="00EE4AB1"/>
    <w:rsid w:val="00EE7183"/>
    <w:rsid w:val="00F207B5"/>
    <w:rsid w:val="00F27ED5"/>
    <w:rsid w:val="00F34208"/>
    <w:rsid w:val="00F434DF"/>
    <w:rsid w:val="00F44A59"/>
    <w:rsid w:val="00F63779"/>
    <w:rsid w:val="00F6798D"/>
    <w:rsid w:val="00F73A2A"/>
    <w:rsid w:val="00F96667"/>
    <w:rsid w:val="00F96BF8"/>
    <w:rsid w:val="00FA092E"/>
    <w:rsid w:val="00FA2692"/>
    <w:rsid w:val="00FB720D"/>
    <w:rsid w:val="00FE3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E6D"/>
    <w:pPr>
      <w:suppressAutoHyphens/>
    </w:pPr>
    <w:rPr>
      <w:sz w:val="28"/>
    </w:rPr>
  </w:style>
  <w:style w:type="paragraph" w:styleId="Ttulo1">
    <w:name w:val="heading 1"/>
    <w:basedOn w:val="Normal"/>
    <w:next w:val="Normal"/>
    <w:qFormat/>
    <w:rsid w:val="00077E6D"/>
    <w:pPr>
      <w:keepNext/>
      <w:numPr>
        <w:numId w:val="1"/>
      </w:numPr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077E6D"/>
    <w:pPr>
      <w:keepNext/>
      <w:numPr>
        <w:ilvl w:val="1"/>
        <w:numId w:val="1"/>
      </w:numPr>
      <w:spacing w:line="360" w:lineRule="auto"/>
      <w:jc w:val="both"/>
      <w:outlineLvl w:val="1"/>
    </w:pPr>
    <w:rPr>
      <w:b/>
    </w:rPr>
  </w:style>
  <w:style w:type="paragraph" w:styleId="Ttulo3">
    <w:name w:val="heading 3"/>
    <w:basedOn w:val="Normal"/>
    <w:next w:val="Normal"/>
    <w:qFormat/>
    <w:rsid w:val="00077E6D"/>
    <w:pPr>
      <w:keepNext/>
      <w:numPr>
        <w:ilvl w:val="2"/>
        <w:numId w:val="1"/>
      </w:numPr>
      <w:jc w:val="center"/>
      <w:outlineLvl w:val="2"/>
    </w:pPr>
    <w:rPr>
      <w:i/>
      <w:sz w:val="22"/>
    </w:rPr>
  </w:style>
  <w:style w:type="paragraph" w:styleId="Ttulo4">
    <w:name w:val="heading 4"/>
    <w:basedOn w:val="Normal"/>
    <w:next w:val="Normal"/>
    <w:qFormat/>
    <w:rsid w:val="00077E6D"/>
    <w:pPr>
      <w:keepNext/>
      <w:numPr>
        <w:ilvl w:val="3"/>
        <w:numId w:val="1"/>
      </w:numPr>
      <w:spacing w:line="360" w:lineRule="auto"/>
      <w:jc w:val="center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rsid w:val="00077E6D"/>
    <w:pPr>
      <w:keepNext/>
      <w:numPr>
        <w:ilvl w:val="4"/>
        <w:numId w:val="1"/>
      </w:numPr>
      <w:jc w:val="center"/>
      <w:outlineLvl w:val="4"/>
    </w:pPr>
    <w:rPr>
      <w:b/>
      <w:i/>
      <w:sz w:val="20"/>
    </w:rPr>
  </w:style>
  <w:style w:type="paragraph" w:styleId="Ttulo6">
    <w:name w:val="heading 6"/>
    <w:basedOn w:val="Normal"/>
    <w:next w:val="Normal"/>
    <w:qFormat/>
    <w:rsid w:val="00077E6D"/>
    <w:pPr>
      <w:keepNext/>
      <w:numPr>
        <w:ilvl w:val="5"/>
        <w:numId w:val="1"/>
      </w:numPr>
      <w:pBdr>
        <w:bottom w:val="single" w:sz="8" w:space="1" w:color="000000"/>
      </w:pBdr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rsid w:val="00077E6D"/>
    <w:pPr>
      <w:keepNext/>
      <w:numPr>
        <w:ilvl w:val="6"/>
        <w:numId w:val="1"/>
      </w:numPr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077E6D"/>
  </w:style>
  <w:style w:type="character" w:customStyle="1" w:styleId="WW-Absatz-Standardschriftart">
    <w:name w:val="WW-Absatz-Standardschriftart"/>
    <w:rsid w:val="00077E6D"/>
  </w:style>
  <w:style w:type="character" w:customStyle="1" w:styleId="WW-Absatz-Standardschriftart1">
    <w:name w:val="WW-Absatz-Standardschriftart1"/>
    <w:rsid w:val="00077E6D"/>
  </w:style>
  <w:style w:type="character" w:customStyle="1" w:styleId="WW-Absatz-Standardschriftart11">
    <w:name w:val="WW-Absatz-Standardschriftart11"/>
    <w:rsid w:val="00077E6D"/>
  </w:style>
  <w:style w:type="character" w:customStyle="1" w:styleId="WW-Absatz-Standardschriftart111">
    <w:name w:val="WW-Absatz-Standardschriftart111"/>
    <w:rsid w:val="00077E6D"/>
  </w:style>
  <w:style w:type="character" w:customStyle="1" w:styleId="WW-Absatz-Standardschriftart1111">
    <w:name w:val="WW-Absatz-Standardschriftart1111"/>
    <w:rsid w:val="00077E6D"/>
  </w:style>
  <w:style w:type="character" w:customStyle="1" w:styleId="WW-Absatz-Standardschriftart11111">
    <w:name w:val="WW-Absatz-Standardschriftart11111"/>
    <w:rsid w:val="00077E6D"/>
  </w:style>
  <w:style w:type="character" w:customStyle="1" w:styleId="WW-Absatz-Standardschriftart111111">
    <w:name w:val="WW-Absatz-Standardschriftart111111"/>
    <w:rsid w:val="00077E6D"/>
  </w:style>
  <w:style w:type="character" w:customStyle="1" w:styleId="WW-Absatz-Standardschriftart1111111">
    <w:name w:val="WW-Absatz-Standardschriftart1111111"/>
    <w:rsid w:val="00077E6D"/>
  </w:style>
  <w:style w:type="character" w:customStyle="1" w:styleId="WW-Absatz-Standardschriftart11111111">
    <w:name w:val="WW-Absatz-Standardschriftart11111111"/>
    <w:rsid w:val="00077E6D"/>
  </w:style>
  <w:style w:type="character" w:customStyle="1" w:styleId="WW-Absatz-Standardschriftart111111111">
    <w:name w:val="WW-Absatz-Standardschriftart111111111"/>
    <w:rsid w:val="00077E6D"/>
  </w:style>
  <w:style w:type="character" w:customStyle="1" w:styleId="WW-Absatz-Standardschriftart1111111111">
    <w:name w:val="WW-Absatz-Standardschriftart1111111111"/>
    <w:rsid w:val="00077E6D"/>
  </w:style>
  <w:style w:type="character" w:customStyle="1" w:styleId="WW-Absatz-Standardschriftart11111111111">
    <w:name w:val="WW-Absatz-Standardschriftart11111111111"/>
    <w:rsid w:val="00077E6D"/>
  </w:style>
  <w:style w:type="character" w:customStyle="1" w:styleId="WW8Num1z0">
    <w:name w:val="WW8Num1z0"/>
    <w:rsid w:val="00077E6D"/>
    <w:rPr>
      <w:rFonts w:ascii="Times New Roman" w:hAnsi="Times New Roman"/>
    </w:rPr>
  </w:style>
  <w:style w:type="character" w:customStyle="1" w:styleId="Fontepargpadro1">
    <w:name w:val="Fonte parág. padrão1"/>
    <w:rsid w:val="00077E6D"/>
  </w:style>
  <w:style w:type="character" w:styleId="Hyperlink">
    <w:name w:val="Hyperlink"/>
    <w:basedOn w:val="Fontepargpadro1"/>
    <w:rsid w:val="00077E6D"/>
    <w:rPr>
      <w:color w:val="0000FF"/>
      <w:u w:val="single"/>
    </w:rPr>
  </w:style>
  <w:style w:type="character" w:customStyle="1" w:styleId="Smbolosdenumerao">
    <w:name w:val="Símbolos de numeração"/>
    <w:rsid w:val="00077E6D"/>
  </w:style>
  <w:style w:type="paragraph" w:customStyle="1" w:styleId="Ttulo10">
    <w:name w:val="Título1"/>
    <w:basedOn w:val="Normal"/>
    <w:next w:val="Corpodetexto"/>
    <w:rsid w:val="00077E6D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Corpodetexto">
    <w:name w:val="Body Text"/>
    <w:basedOn w:val="Normal"/>
    <w:rsid w:val="00077E6D"/>
    <w:pPr>
      <w:jc w:val="both"/>
    </w:pPr>
  </w:style>
  <w:style w:type="paragraph" w:styleId="Lista">
    <w:name w:val="List"/>
    <w:basedOn w:val="Corpodetexto"/>
    <w:rsid w:val="00077E6D"/>
    <w:rPr>
      <w:rFonts w:cs="Tahoma"/>
    </w:rPr>
  </w:style>
  <w:style w:type="paragraph" w:customStyle="1" w:styleId="Legenda1">
    <w:name w:val="Legenda1"/>
    <w:basedOn w:val="Normal"/>
    <w:rsid w:val="00077E6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rsid w:val="00077E6D"/>
    <w:pPr>
      <w:suppressLineNumbers/>
    </w:pPr>
    <w:rPr>
      <w:rFonts w:cs="Tahoma"/>
    </w:rPr>
  </w:style>
  <w:style w:type="paragraph" w:customStyle="1" w:styleId="Captulo">
    <w:name w:val="Capítulo"/>
    <w:basedOn w:val="Normal"/>
    <w:next w:val="Corpodetexto"/>
    <w:rsid w:val="00077E6D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customStyle="1" w:styleId="Corpodetexto21">
    <w:name w:val="Corpo de texto 21"/>
    <w:basedOn w:val="Normal"/>
    <w:rsid w:val="00077E6D"/>
    <w:rPr>
      <w:b/>
      <w:sz w:val="20"/>
    </w:rPr>
  </w:style>
  <w:style w:type="paragraph" w:styleId="Recuodecorpodetexto">
    <w:name w:val="Body Text Indent"/>
    <w:basedOn w:val="Normal"/>
    <w:rsid w:val="00077E6D"/>
    <w:pPr>
      <w:ind w:left="708"/>
      <w:jc w:val="both"/>
    </w:pPr>
    <w:rPr>
      <w:rFonts w:ascii="Arial" w:hAnsi="Arial"/>
      <w:sz w:val="18"/>
    </w:rPr>
  </w:style>
  <w:style w:type="paragraph" w:customStyle="1" w:styleId="Recuodecorpodetexto21">
    <w:name w:val="Recuo de corpo de texto 21"/>
    <w:basedOn w:val="Normal"/>
    <w:rsid w:val="00077E6D"/>
    <w:pPr>
      <w:ind w:firstLine="2835"/>
      <w:jc w:val="both"/>
    </w:pPr>
  </w:style>
  <w:style w:type="paragraph" w:styleId="Cabealho">
    <w:name w:val="header"/>
    <w:basedOn w:val="Normal"/>
    <w:link w:val="CabealhoChar"/>
    <w:rsid w:val="00077E6D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077E6D"/>
    <w:pPr>
      <w:tabs>
        <w:tab w:val="center" w:pos="4419"/>
        <w:tab w:val="right" w:pos="8838"/>
      </w:tabs>
    </w:pPr>
  </w:style>
  <w:style w:type="paragraph" w:customStyle="1" w:styleId="Recuodecorpodetexto31">
    <w:name w:val="Recuo de corpo de texto 31"/>
    <w:basedOn w:val="Normal"/>
    <w:rsid w:val="00077E6D"/>
    <w:pPr>
      <w:ind w:firstLine="2127"/>
      <w:jc w:val="both"/>
    </w:pPr>
  </w:style>
  <w:style w:type="paragraph" w:customStyle="1" w:styleId="Contedodatabela">
    <w:name w:val="Conteúdo da tabela"/>
    <w:basedOn w:val="Normal"/>
    <w:rsid w:val="00077E6D"/>
    <w:pPr>
      <w:suppressLineNumbers/>
    </w:pPr>
  </w:style>
  <w:style w:type="paragraph" w:customStyle="1" w:styleId="Ttulodatabela">
    <w:name w:val="Título da tabela"/>
    <w:basedOn w:val="Contedodatabela"/>
    <w:rsid w:val="00077E6D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rsid w:val="00077E6D"/>
    <w:pPr>
      <w:spacing w:before="100" w:after="100"/>
    </w:pPr>
  </w:style>
  <w:style w:type="character" w:customStyle="1" w:styleId="CabealhoChar">
    <w:name w:val="Cabeçalho Char"/>
    <w:basedOn w:val="Fontepargpadro"/>
    <w:link w:val="Cabealho"/>
    <w:rsid w:val="009169BF"/>
    <w:rPr>
      <w:sz w:val="28"/>
    </w:rPr>
  </w:style>
  <w:style w:type="character" w:customStyle="1" w:styleId="RodapChar">
    <w:name w:val="Rodapé Char"/>
    <w:basedOn w:val="Fontepargpadro"/>
    <w:link w:val="Rodap"/>
    <w:uiPriority w:val="99"/>
    <w:locked/>
    <w:rsid w:val="0008320D"/>
    <w:rPr>
      <w:sz w:val="28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3105DC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3105DC"/>
  </w:style>
  <w:style w:type="character" w:styleId="Refdenotaderodap">
    <w:name w:val="footnote reference"/>
    <w:basedOn w:val="Fontepargpadro"/>
    <w:uiPriority w:val="99"/>
    <w:unhideWhenUsed/>
    <w:rsid w:val="003105DC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EA66E2"/>
    <w:pPr>
      <w:ind w:left="708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67E2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7E2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uiPriority w:val="99"/>
    <w:rsid w:val="00D67E2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constituicao/Emendas/Emc/emc80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lanalto.gov.br/ccivil_03/constituicao/Emendas/Emc/emc80.ht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ac@defensoria.to.gov.br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globotv.globo.com/tv-anhanguera-to/bom-dia-tocantins/v/prefeitura-derruba-casa-e-revolta-moradores-no-setor-uniao-sul-em-palmas/4212441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8F8E7E-CF1C-460D-BD14-8EEBCDBFA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1793</Words>
  <Characters>9686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Goiás</vt:lpstr>
    </vt:vector>
  </TitlesOfParts>
  <Company>DP-TO</Company>
  <LinksUpToDate>false</LinksUpToDate>
  <CharactersWithSpaces>11457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Goiás</dc:title>
  <dc:creator>User</dc:creator>
  <cp:lastModifiedBy>cinthia.ga</cp:lastModifiedBy>
  <cp:revision>2</cp:revision>
  <cp:lastPrinted>2010-03-10T19:29:00Z</cp:lastPrinted>
  <dcterms:created xsi:type="dcterms:W3CDTF">2015-07-24T17:49:00Z</dcterms:created>
  <dcterms:modified xsi:type="dcterms:W3CDTF">2015-07-24T17:49:00Z</dcterms:modified>
</cp:coreProperties>
</file>